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EBD" w:rsidRPr="004621DC" w:rsidRDefault="00476762" w:rsidP="00501930">
      <w:pPr>
        <w:jc w:val="center"/>
        <w:rPr>
          <w:rFonts w:ascii="Book Antiqua" w:hAnsi="Book Antiqua" w:cs="Arial"/>
          <w:b/>
          <w:sz w:val="24"/>
          <w:szCs w:val="24"/>
        </w:rPr>
      </w:pPr>
      <w:r w:rsidRPr="004621DC">
        <w:rPr>
          <w:rFonts w:ascii="Book Antiqua" w:hAnsi="Book Antiqua" w:cs="Arial"/>
          <w:b/>
          <w:sz w:val="24"/>
          <w:szCs w:val="24"/>
        </w:rPr>
        <w:t>This Week:</w:t>
      </w:r>
      <w:r w:rsidR="00C335EA" w:rsidRPr="004621DC">
        <w:rPr>
          <w:rFonts w:ascii="Book Antiqua" w:hAnsi="Book Antiqua" w:cs="Arial"/>
          <w:b/>
          <w:sz w:val="24"/>
          <w:szCs w:val="24"/>
        </w:rPr>
        <w:t xml:space="preserve"> </w:t>
      </w:r>
      <w:r w:rsidR="005A3048">
        <w:rPr>
          <w:rFonts w:ascii="Book Antiqua" w:hAnsi="Book Antiqua" w:cs="Arial"/>
          <w:b/>
          <w:sz w:val="24"/>
          <w:szCs w:val="24"/>
        </w:rPr>
        <w:t>Get c</w:t>
      </w:r>
      <w:r w:rsidR="00907413">
        <w:rPr>
          <w:rFonts w:ascii="Book Antiqua" w:hAnsi="Book Antiqua" w:cs="Arial"/>
          <w:b/>
          <w:sz w:val="24"/>
          <w:szCs w:val="24"/>
        </w:rPr>
        <w:t>redit of</w:t>
      </w:r>
      <w:r w:rsidR="00F50FF4">
        <w:rPr>
          <w:rFonts w:ascii="Book Antiqua" w:hAnsi="Book Antiqua" w:cs="Arial"/>
          <w:b/>
          <w:sz w:val="24"/>
          <w:szCs w:val="24"/>
        </w:rPr>
        <w:t xml:space="preserve"> </w:t>
      </w:r>
      <w:r w:rsidR="00BD042E" w:rsidRPr="004621DC">
        <w:rPr>
          <w:rFonts w:ascii="Book Antiqua" w:hAnsi="Book Antiqua" w:cs="Arial"/>
          <w:b/>
          <w:sz w:val="24"/>
          <w:szCs w:val="24"/>
        </w:rPr>
        <w:t>TDS</w:t>
      </w:r>
      <w:r w:rsidR="00F50FF4">
        <w:rPr>
          <w:rFonts w:ascii="Book Antiqua" w:hAnsi="Book Antiqua" w:cs="Arial"/>
          <w:b/>
          <w:sz w:val="24"/>
          <w:szCs w:val="24"/>
        </w:rPr>
        <w:t xml:space="preserve"> </w:t>
      </w:r>
      <w:r w:rsidR="00907413">
        <w:rPr>
          <w:rFonts w:ascii="Book Antiqua" w:hAnsi="Book Antiqua" w:cs="Arial"/>
          <w:b/>
          <w:sz w:val="24"/>
          <w:szCs w:val="24"/>
        </w:rPr>
        <w:t>not</w:t>
      </w:r>
      <w:r w:rsidR="00F50FF4">
        <w:rPr>
          <w:rFonts w:ascii="Book Antiqua" w:hAnsi="Book Antiqua" w:cs="Arial"/>
          <w:b/>
          <w:sz w:val="24"/>
          <w:szCs w:val="24"/>
        </w:rPr>
        <w:t xml:space="preserve"> </w:t>
      </w:r>
      <w:r w:rsidR="00907413">
        <w:rPr>
          <w:rFonts w:ascii="Book Antiqua" w:hAnsi="Book Antiqua" w:cs="Arial"/>
          <w:b/>
          <w:sz w:val="24"/>
          <w:szCs w:val="24"/>
        </w:rPr>
        <w:t>paid to Govt.</w:t>
      </w:r>
    </w:p>
    <w:p w:rsidR="00476762" w:rsidRPr="004621DC" w:rsidRDefault="00476762" w:rsidP="004621DC">
      <w:pPr>
        <w:spacing w:before="100" w:beforeAutospacing="1" w:after="100" w:afterAutospacing="1" w:line="240" w:lineRule="auto"/>
        <w:jc w:val="both"/>
        <w:rPr>
          <w:rFonts w:ascii="Book Antiqua" w:eastAsia="Times New Roman" w:hAnsi="Book Antiqua" w:cs="Arial"/>
          <w:sz w:val="24"/>
          <w:szCs w:val="24"/>
        </w:rPr>
      </w:pPr>
      <w:r w:rsidRPr="004621DC">
        <w:rPr>
          <w:rFonts w:ascii="Book Antiqua" w:eastAsia="Times New Roman" w:hAnsi="Book Antiqua" w:cs="Arial"/>
          <w:sz w:val="24"/>
          <w:szCs w:val="24"/>
        </w:rPr>
        <w:t>Dear ________,</w:t>
      </w:r>
    </w:p>
    <w:p w:rsidR="002B3B0B" w:rsidRPr="004621DC" w:rsidRDefault="00476762" w:rsidP="004621DC">
      <w:pPr>
        <w:spacing w:before="100" w:beforeAutospacing="1" w:after="100" w:afterAutospacing="1" w:line="240" w:lineRule="auto"/>
        <w:jc w:val="both"/>
        <w:rPr>
          <w:rFonts w:ascii="Book Antiqua" w:hAnsi="Book Antiqua" w:cs="Arial"/>
          <w:sz w:val="24"/>
          <w:szCs w:val="24"/>
        </w:rPr>
      </w:pPr>
      <w:r w:rsidRPr="004621DC">
        <w:rPr>
          <w:rFonts w:ascii="Book Antiqua" w:hAnsi="Book Antiqua" w:cs="Arial"/>
          <w:sz w:val="24"/>
          <w:szCs w:val="24"/>
        </w:rPr>
        <w:t xml:space="preserve">This weekly newsletter analytically summarizes the key stories reported at taxmann.com during the previous week from </w:t>
      </w:r>
      <w:r w:rsidR="0061195D" w:rsidRPr="004621DC">
        <w:rPr>
          <w:rFonts w:ascii="Book Antiqua" w:hAnsi="Book Antiqua" w:cs="Arial"/>
          <w:sz w:val="24"/>
          <w:szCs w:val="24"/>
        </w:rPr>
        <w:t>29</w:t>
      </w:r>
      <w:r w:rsidR="0061195D" w:rsidRPr="004621DC">
        <w:rPr>
          <w:rFonts w:ascii="Book Antiqua" w:hAnsi="Book Antiqua" w:cs="Arial"/>
          <w:sz w:val="24"/>
          <w:szCs w:val="24"/>
          <w:vertAlign w:val="superscript"/>
        </w:rPr>
        <w:t>th</w:t>
      </w:r>
      <w:r w:rsidR="0061195D" w:rsidRPr="004621DC">
        <w:rPr>
          <w:rFonts w:ascii="Book Antiqua" w:hAnsi="Book Antiqua" w:cs="Arial"/>
          <w:sz w:val="24"/>
          <w:szCs w:val="24"/>
        </w:rPr>
        <w:t xml:space="preserve"> November to</w:t>
      </w:r>
      <w:r w:rsidR="00004458" w:rsidRPr="004621DC">
        <w:rPr>
          <w:rFonts w:ascii="Book Antiqua" w:hAnsi="Book Antiqua" w:cs="Arial"/>
          <w:sz w:val="24"/>
          <w:szCs w:val="24"/>
        </w:rPr>
        <w:t xml:space="preserve"> </w:t>
      </w:r>
      <w:r w:rsidR="0061195D" w:rsidRPr="004621DC">
        <w:rPr>
          <w:rFonts w:ascii="Book Antiqua" w:hAnsi="Book Antiqua" w:cs="Arial"/>
          <w:sz w:val="24"/>
          <w:szCs w:val="24"/>
        </w:rPr>
        <w:t>04</w:t>
      </w:r>
      <w:r w:rsidR="0061195D" w:rsidRPr="004621DC">
        <w:rPr>
          <w:rFonts w:ascii="Book Antiqua" w:hAnsi="Book Antiqua" w:cs="Arial"/>
          <w:sz w:val="24"/>
          <w:szCs w:val="24"/>
          <w:vertAlign w:val="superscript"/>
        </w:rPr>
        <w:t>th</w:t>
      </w:r>
      <w:r w:rsidR="0061195D" w:rsidRPr="004621DC">
        <w:rPr>
          <w:rFonts w:ascii="Book Antiqua" w:hAnsi="Book Antiqua" w:cs="Arial"/>
          <w:sz w:val="24"/>
          <w:szCs w:val="24"/>
        </w:rPr>
        <w:t xml:space="preserve"> December</w:t>
      </w:r>
      <w:r w:rsidR="00D833BB" w:rsidRPr="004621DC">
        <w:rPr>
          <w:rFonts w:ascii="Book Antiqua" w:hAnsi="Book Antiqua" w:cs="Arial"/>
          <w:sz w:val="24"/>
          <w:szCs w:val="24"/>
        </w:rPr>
        <w:t xml:space="preserve"> </w:t>
      </w:r>
      <w:r w:rsidRPr="004621DC">
        <w:rPr>
          <w:rFonts w:ascii="Book Antiqua" w:hAnsi="Book Antiqua" w:cs="Arial"/>
          <w:sz w:val="24"/>
          <w:szCs w:val="24"/>
        </w:rPr>
        <w:t xml:space="preserve">2021, </w:t>
      </w:r>
      <w:r w:rsidRPr="004621DC">
        <w:rPr>
          <w:rFonts w:ascii="Book Antiqua" w:hAnsi="Book Antiqua" w:cs="Arial"/>
          <w:i/>
          <w:iCs/>
          <w:sz w:val="24"/>
          <w:szCs w:val="24"/>
        </w:rPr>
        <w:t>namely</w:t>
      </w:r>
      <w:r w:rsidRPr="004621DC">
        <w:rPr>
          <w:rFonts w:ascii="Book Antiqua" w:hAnsi="Book Antiqua" w:cs="Arial"/>
          <w:sz w:val="24"/>
          <w:szCs w:val="24"/>
        </w:rPr>
        <w:t>:</w:t>
      </w:r>
    </w:p>
    <w:p w:rsidR="00D07C9F" w:rsidRPr="00A975FE" w:rsidRDefault="00EB2721" w:rsidP="00A975FE">
      <w:pPr>
        <w:pStyle w:val="ListParagraph"/>
        <w:numPr>
          <w:ilvl w:val="0"/>
          <w:numId w:val="38"/>
        </w:numPr>
        <w:jc w:val="both"/>
        <w:rPr>
          <w:rFonts w:ascii="Book Antiqua" w:hAnsi="Book Antiqua"/>
          <w:i/>
          <w:sz w:val="24"/>
        </w:rPr>
      </w:pPr>
      <w:r w:rsidRPr="00A975FE">
        <w:rPr>
          <w:rFonts w:ascii="Book Antiqua" w:hAnsi="Book Antiqua"/>
          <w:i/>
          <w:sz w:val="24"/>
        </w:rPr>
        <w:t>Gujarat High Court direct</w:t>
      </w:r>
      <w:r w:rsidR="008255A1">
        <w:rPr>
          <w:rFonts w:ascii="Book Antiqua" w:hAnsi="Book Antiqua"/>
          <w:i/>
          <w:sz w:val="24"/>
        </w:rPr>
        <w:t>ed</w:t>
      </w:r>
      <w:r w:rsidRPr="00A975FE">
        <w:rPr>
          <w:rFonts w:ascii="Book Antiqua" w:hAnsi="Book Antiqua"/>
          <w:i/>
          <w:sz w:val="24"/>
        </w:rPr>
        <w:t xml:space="preserve"> AO to allow TDS credit to </w:t>
      </w:r>
      <w:r w:rsidR="00D0777C">
        <w:rPr>
          <w:rFonts w:ascii="Book Antiqua" w:hAnsi="Book Antiqua"/>
          <w:i/>
          <w:sz w:val="24"/>
        </w:rPr>
        <w:t xml:space="preserve">the </w:t>
      </w:r>
      <w:r w:rsidRPr="00A975FE">
        <w:rPr>
          <w:rFonts w:ascii="Book Antiqua" w:hAnsi="Book Antiqua"/>
          <w:i/>
          <w:sz w:val="24"/>
        </w:rPr>
        <w:t xml:space="preserve">employee even if </w:t>
      </w:r>
      <w:r w:rsidR="008255A1">
        <w:rPr>
          <w:rFonts w:ascii="Book Antiqua" w:hAnsi="Book Antiqua"/>
          <w:i/>
          <w:sz w:val="24"/>
        </w:rPr>
        <w:t>employer did</w:t>
      </w:r>
      <w:r w:rsidR="00124428">
        <w:rPr>
          <w:rFonts w:ascii="Book Antiqua" w:hAnsi="Book Antiqua"/>
          <w:i/>
          <w:sz w:val="24"/>
        </w:rPr>
        <w:t>n’t deposit TDS</w:t>
      </w:r>
      <w:r w:rsidRPr="00A975FE">
        <w:rPr>
          <w:rFonts w:ascii="Book Antiqua" w:hAnsi="Book Antiqua"/>
          <w:i/>
          <w:sz w:val="24"/>
        </w:rPr>
        <w:t>;</w:t>
      </w:r>
    </w:p>
    <w:p w:rsidR="00EB2721" w:rsidRPr="00A975FE" w:rsidRDefault="00853D3E" w:rsidP="00A975FE">
      <w:pPr>
        <w:pStyle w:val="ListParagraph"/>
        <w:numPr>
          <w:ilvl w:val="0"/>
          <w:numId w:val="38"/>
        </w:numPr>
        <w:jc w:val="both"/>
        <w:rPr>
          <w:rFonts w:ascii="Book Antiqua" w:hAnsi="Book Antiqua"/>
          <w:i/>
          <w:sz w:val="24"/>
        </w:rPr>
      </w:pPr>
      <w:r>
        <w:rPr>
          <w:rFonts w:ascii="Book Antiqua" w:hAnsi="Book Antiqua"/>
          <w:i/>
          <w:sz w:val="24"/>
        </w:rPr>
        <w:t>All your questions on ITRs answered in ‘</w:t>
      </w:r>
      <w:r w:rsidR="00EB2721" w:rsidRPr="00A975FE">
        <w:rPr>
          <w:rFonts w:ascii="Book Antiqua" w:hAnsi="Book Antiqua"/>
          <w:i/>
          <w:sz w:val="24"/>
        </w:rPr>
        <w:t>FAQs on Income-tax Returns for Assessment Year 2021-22</w:t>
      </w:r>
      <w:r>
        <w:rPr>
          <w:rFonts w:ascii="Book Antiqua" w:hAnsi="Book Antiqua"/>
          <w:i/>
          <w:sz w:val="24"/>
        </w:rPr>
        <w:t>’</w:t>
      </w:r>
      <w:r w:rsidR="00EB2721" w:rsidRPr="00A975FE">
        <w:rPr>
          <w:rFonts w:ascii="Book Antiqua" w:hAnsi="Book Antiqua"/>
          <w:i/>
          <w:sz w:val="24"/>
        </w:rPr>
        <w:t>;</w:t>
      </w:r>
    </w:p>
    <w:p w:rsidR="00F8264D" w:rsidRPr="00A975FE" w:rsidRDefault="00F8264D" w:rsidP="00A975FE">
      <w:pPr>
        <w:pStyle w:val="ListParagraph"/>
        <w:numPr>
          <w:ilvl w:val="0"/>
          <w:numId w:val="38"/>
        </w:numPr>
        <w:jc w:val="both"/>
        <w:rPr>
          <w:rFonts w:ascii="Book Antiqua" w:hAnsi="Book Antiqua"/>
          <w:i/>
          <w:sz w:val="24"/>
        </w:rPr>
      </w:pPr>
      <w:r w:rsidRPr="00A975FE">
        <w:rPr>
          <w:rFonts w:ascii="Book Antiqua" w:hAnsi="Book Antiqua"/>
          <w:i/>
          <w:sz w:val="24"/>
        </w:rPr>
        <w:t>CCI dismisses a complaint filed by pharma wholesalers for anti-competitive practices against 17 pharmaceutical Cos</w:t>
      </w:r>
      <w:r w:rsidR="0006403C">
        <w:rPr>
          <w:rFonts w:ascii="Book Antiqua" w:hAnsi="Book Antiqua"/>
          <w:i/>
          <w:sz w:val="24"/>
        </w:rPr>
        <w:t>.</w:t>
      </w:r>
      <w:r w:rsidRPr="00A975FE">
        <w:rPr>
          <w:rFonts w:ascii="Book Antiqua" w:hAnsi="Book Antiqua"/>
          <w:i/>
          <w:sz w:val="24"/>
        </w:rPr>
        <w:t>;</w:t>
      </w:r>
    </w:p>
    <w:p w:rsidR="00EB2721" w:rsidRPr="00A975FE" w:rsidRDefault="00043FC0" w:rsidP="00A975FE">
      <w:pPr>
        <w:pStyle w:val="ListParagraph"/>
        <w:numPr>
          <w:ilvl w:val="0"/>
          <w:numId w:val="38"/>
        </w:numPr>
        <w:jc w:val="both"/>
        <w:rPr>
          <w:rFonts w:ascii="Book Antiqua" w:hAnsi="Book Antiqua"/>
          <w:i/>
          <w:sz w:val="24"/>
        </w:rPr>
      </w:pPr>
      <w:r w:rsidRPr="00A975FE">
        <w:rPr>
          <w:rFonts w:ascii="Book Antiqua" w:hAnsi="Book Antiqua"/>
          <w:i/>
          <w:sz w:val="24"/>
        </w:rPr>
        <w:t>Bombay High Court rule</w:t>
      </w:r>
      <w:r w:rsidR="0006403C">
        <w:rPr>
          <w:rFonts w:ascii="Book Antiqua" w:hAnsi="Book Antiqua"/>
          <w:i/>
          <w:sz w:val="24"/>
        </w:rPr>
        <w:t>d</w:t>
      </w:r>
      <w:r w:rsidRPr="00A975FE">
        <w:rPr>
          <w:rFonts w:ascii="Book Antiqua" w:hAnsi="Book Antiqua"/>
          <w:i/>
          <w:sz w:val="24"/>
        </w:rPr>
        <w:t xml:space="preserve"> that r</w:t>
      </w:r>
      <w:r w:rsidR="00DD2898" w:rsidRPr="00A975FE">
        <w:rPr>
          <w:rFonts w:ascii="Book Antiqua" w:hAnsi="Book Antiqua"/>
          <w:i/>
          <w:sz w:val="24"/>
        </w:rPr>
        <w:t>efund c</w:t>
      </w:r>
      <w:r w:rsidR="0006403C">
        <w:rPr>
          <w:rFonts w:ascii="Book Antiqua" w:hAnsi="Book Antiqua"/>
          <w:i/>
          <w:sz w:val="24"/>
        </w:rPr>
        <w:t>ould</w:t>
      </w:r>
      <w:r w:rsidR="00DD2898" w:rsidRPr="00A975FE">
        <w:rPr>
          <w:rFonts w:ascii="Book Antiqua" w:hAnsi="Book Antiqua"/>
          <w:i/>
          <w:sz w:val="24"/>
        </w:rPr>
        <w:t>n</w:t>
      </w:r>
      <w:r w:rsidR="008255A1">
        <w:rPr>
          <w:rFonts w:ascii="Book Antiqua" w:hAnsi="Book Antiqua"/>
          <w:i/>
          <w:sz w:val="24"/>
        </w:rPr>
        <w:t>’</w:t>
      </w:r>
      <w:r w:rsidR="00DD2898" w:rsidRPr="00A975FE">
        <w:rPr>
          <w:rFonts w:ascii="Book Antiqua" w:hAnsi="Book Antiqua"/>
          <w:i/>
          <w:sz w:val="24"/>
        </w:rPr>
        <w:t xml:space="preserve">t be denied even if </w:t>
      </w:r>
      <w:r w:rsidR="0074020F">
        <w:rPr>
          <w:rFonts w:ascii="Book Antiqua" w:hAnsi="Book Antiqua"/>
          <w:i/>
          <w:sz w:val="24"/>
        </w:rPr>
        <w:t xml:space="preserve">an </w:t>
      </w:r>
      <w:r w:rsidR="00DD2898" w:rsidRPr="00A975FE">
        <w:rPr>
          <w:rFonts w:ascii="Book Antiqua" w:hAnsi="Book Antiqua"/>
          <w:i/>
          <w:sz w:val="24"/>
        </w:rPr>
        <w:t>investigation is pending</w:t>
      </w:r>
      <w:r w:rsidRPr="00A975FE">
        <w:rPr>
          <w:rFonts w:ascii="Book Antiqua" w:hAnsi="Book Antiqua"/>
          <w:i/>
          <w:sz w:val="24"/>
        </w:rPr>
        <w:t xml:space="preserve"> against the assessee;</w:t>
      </w:r>
    </w:p>
    <w:p w:rsidR="00DD2898" w:rsidRPr="00A975FE" w:rsidRDefault="00DD2898" w:rsidP="00A975FE">
      <w:pPr>
        <w:pStyle w:val="ListParagraph"/>
        <w:numPr>
          <w:ilvl w:val="0"/>
          <w:numId w:val="38"/>
        </w:numPr>
        <w:jc w:val="both"/>
        <w:rPr>
          <w:rFonts w:ascii="Book Antiqua" w:hAnsi="Book Antiqua"/>
          <w:i/>
          <w:sz w:val="24"/>
        </w:rPr>
      </w:pPr>
      <w:r w:rsidRPr="00A975FE">
        <w:rPr>
          <w:rFonts w:ascii="Book Antiqua" w:hAnsi="Book Antiqua"/>
          <w:i/>
          <w:sz w:val="24"/>
        </w:rPr>
        <w:t>Delhi H</w:t>
      </w:r>
      <w:r w:rsidR="0074020F">
        <w:rPr>
          <w:rFonts w:ascii="Book Antiqua" w:hAnsi="Book Antiqua"/>
          <w:i/>
          <w:sz w:val="24"/>
        </w:rPr>
        <w:t xml:space="preserve">igh </w:t>
      </w:r>
      <w:r w:rsidRPr="00A975FE">
        <w:rPr>
          <w:rFonts w:ascii="Book Antiqua" w:hAnsi="Book Antiqua"/>
          <w:i/>
          <w:sz w:val="24"/>
        </w:rPr>
        <w:t>C</w:t>
      </w:r>
      <w:r w:rsidR="0074020F">
        <w:rPr>
          <w:rFonts w:ascii="Book Antiqua" w:hAnsi="Book Antiqua"/>
          <w:i/>
          <w:sz w:val="24"/>
        </w:rPr>
        <w:t>ourt</w:t>
      </w:r>
      <w:r w:rsidRPr="00A975FE">
        <w:rPr>
          <w:rFonts w:ascii="Book Antiqua" w:hAnsi="Book Antiqua"/>
          <w:i/>
          <w:sz w:val="24"/>
        </w:rPr>
        <w:t xml:space="preserve"> granted bail to </w:t>
      </w:r>
      <w:r w:rsidR="00517DCF">
        <w:rPr>
          <w:rFonts w:ascii="Book Antiqua" w:hAnsi="Book Antiqua"/>
          <w:i/>
          <w:sz w:val="24"/>
        </w:rPr>
        <w:t xml:space="preserve">the </w:t>
      </w:r>
      <w:r w:rsidRPr="00A975FE">
        <w:rPr>
          <w:rFonts w:ascii="Book Antiqua" w:hAnsi="Book Antiqua"/>
          <w:i/>
          <w:sz w:val="24"/>
        </w:rPr>
        <w:t>petitioner as detaining him in judicial custody would adversely affect business</w:t>
      </w:r>
      <w:r w:rsidR="00043FC0" w:rsidRPr="00A975FE">
        <w:rPr>
          <w:rFonts w:ascii="Book Antiqua" w:hAnsi="Book Antiqua"/>
          <w:i/>
          <w:sz w:val="24"/>
        </w:rPr>
        <w:t>;</w:t>
      </w:r>
      <w:r w:rsidR="00AF26B3" w:rsidRPr="00A975FE">
        <w:rPr>
          <w:rFonts w:ascii="Book Antiqua" w:hAnsi="Book Antiqua"/>
          <w:i/>
          <w:sz w:val="24"/>
        </w:rPr>
        <w:t xml:space="preserve"> and</w:t>
      </w:r>
    </w:p>
    <w:p w:rsidR="00043FC0" w:rsidRPr="00A975FE" w:rsidRDefault="00AF26B3" w:rsidP="00A975FE">
      <w:pPr>
        <w:pStyle w:val="ListParagraph"/>
        <w:numPr>
          <w:ilvl w:val="0"/>
          <w:numId w:val="38"/>
        </w:numPr>
        <w:jc w:val="both"/>
        <w:rPr>
          <w:rFonts w:ascii="Book Antiqua" w:hAnsi="Book Antiqua"/>
          <w:i/>
          <w:sz w:val="24"/>
        </w:rPr>
      </w:pPr>
      <w:r w:rsidRPr="00A975FE">
        <w:rPr>
          <w:rFonts w:ascii="Book Antiqua" w:hAnsi="Book Antiqua"/>
          <w:i/>
          <w:sz w:val="24"/>
        </w:rPr>
        <w:t xml:space="preserve">Revenue </w:t>
      </w:r>
      <w:r w:rsidR="00592CF5">
        <w:rPr>
          <w:rFonts w:ascii="Book Antiqua" w:hAnsi="Book Antiqua"/>
          <w:i/>
          <w:sz w:val="24"/>
        </w:rPr>
        <w:t>R</w:t>
      </w:r>
      <w:r w:rsidRPr="00A975FE">
        <w:rPr>
          <w:rFonts w:ascii="Book Antiqua" w:hAnsi="Book Antiqua"/>
          <w:i/>
          <w:sz w:val="24"/>
        </w:rPr>
        <w:t>ecognition from sale of electricity as per Ind AS 115.</w:t>
      </w:r>
    </w:p>
    <w:p w:rsidR="00DD2898" w:rsidRPr="004621DC" w:rsidRDefault="00DD2898" w:rsidP="004621DC">
      <w:pPr>
        <w:jc w:val="both"/>
        <w:rPr>
          <w:rFonts w:ascii="Book Antiqua" w:hAnsi="Book Antiqua"/>
          <w:i/>
          <w:sz w:val="24"/>
        </w:rPr>
      </w:pPr>
    </w:p>
    <w:p w:rsidR="00BD042E" w:rsidRPr="000D2BF8" w:rsidRDefault="006666B1" w:rsidP="000D2BF8">
      <w:pPr>
        <w:pStyle w:val="ListParagraph"/>
        <w:numPr>
          <w:ilvl w:val="0"/>
          <w:numId w:val="39"/>
        </w:numPr>
        <w:jc w:val="both"/>
        <w:rPr>
          <w:rFonts w:ascii="Book Antiqua" w:hAnsi="Book Antiqua"/>
          <w:b/>
          <w:sz w:val="24"/>
        </w:rPr>
      </w:pPr>
      <w:r w:rsidRPr="000D2BF8">
        <w:rPr>
          <w:rFonts w:ascii="Book Antiqua" w:hAnsi="Book Antiqua"/>
          <w:b/>
          <w:sz w:val="24"/>
        </w:rPr>
        <w:t xml:space="preserve">Gujarat High Court directed </w:t>
      </w:r>
      <w:r w:rsidR="00BD042E" w:rsidRPr="000D2BF8">
        <w:rPr>
          <w:rFonts w:ascii="Book Antiqua" w:hAnsi="Book Antiqua"/>
          <w:b/>
          <w:sz w:val="24"/>
        </w:rPr>
        <w:t xml:space="preserve">AO to allow TDS credit to </w:t>
      </w:r>
      <w:r w:rsidR="003E6EA2">
        <w:rPr>
          <w:rFonts w:ascii="Book Antiqua" w:hAnsi="Book Antiqua"/>
          <w:b/>
          <w:sz w:val="24"/>
        </w:rPr>
        <w:t xml:space="preserve">an </w:t>
      </w:r>
      <w:r w:rsidR="00BD042E" w:rsidRPr="000D2BF8">
        <w:rPr>
          <w:rFonts w:ascii="Book Antiqua" w:hAnsi="Book Antiqua"/>
          <w:b/>
          <w:sz w:val="24"/>
        </w:rPr>
        <w:t xml:space="preserve">employee even if TDS </w:t>
      </w:r>
      <w:r w:rsidR="00CF418A">
        <w:rPr>
          <w:rFonts w:ascii="Book Antiqua" w:hAnsi="Book Antiqua"/>
          <w:b/>
          <w:sz w:val="24"/>
        </w:rPr>
        <w:t>wa</w:t>
      </w:r>
      <w:r w:rsidR="00BD042E" w:rsidRPr="000D2BF8">
        <w:rPr>
          <w:rFonts w:ascii="Book Antiqua" w:hAnsi="Book Antiqua"/>
          <w:b/>
          <w:sz w:val="24"/>
        </w:rPr>
        <w:t xml:space="preserve">sn’t deposited by </w:t>
      </w:r>
      <w:r w:rsidR="00CB6938">
        <w:rPr>
          <w:rFonts w:ascii="Book Antiqua" w:hAnsi="Book Antiqua"/>
          <w:b/>
          <w:sz w:val="24"/>
        </w:rPr>
        <w:t xml:space="preserve">the </w:t>
      </w:r>
      <w:r w:rsidR="00BD042E" w:rsidRPr="000D2BF8">
        <w:rPr>
          <w:rFonts w:ascii="Book Antiqua" w:hAnsi="Book Antiqua"/>
          <w:b/>
          <w:sz w:val="24"/>
        </w:rPr>
        <w:t>employer</w:t>
      </w:r>
    </w:p>
    <w:p w:rsidR="0028189D" w:rsidRPr="0058027C" w:rsidRDefault="0028189D" w:rsidP="004621DC">
      <w:pPr>
        <w:jc w:val="both"/>
        <w:rPr>
          <w:rFonts w:ascii="Book Antiqua" w:hAnsi="Book Antiqua"/>
          <w:sz w:val="24"/>
        </w:rPr>
      </w:pPr>
      <w:r>
        <w:rPr>
          <w:rFonts w:ascii="Book Antiqua" w:hAnsi="Book Antiqua"/>
          <w:sz w:val="24"/>
        </w:rPr>
        <w:t xml:space="preserve">The Gujarat High Court has ruled that the Income-tax </w:t>
      </w:r>
      <w:r w:rsidRPr="0028189D">
        <w:rPr>
          <w:rFonts w:ascii="Book Antiqua" w:hAnsi="Book Antiqua"/>
          <w:sz w:val="24"/>
        </w:rPr>
        <w:t xml:space="preserve">department is precluded from denying the benefit of the tax deducted at source by the employer during the relevant financial years. </w:t>
      </w:r>
      <w:r w:rsidR="00815FED">
        <w:rPr>
          <w:rFonts w:ascii="Book Antiqua" w:hAnsi="Book Antiqua"/>
          <w:sz w:val="24"/>
        </w:rPr>
        <w:t xml:space="preserve">The Court held that where </w:t>
      </w:r>
      <w:r w:rsidR="003E6EA2">
        <w:rPr>
          <w:rFonts w:ascii="Book Antiqua" w:hAnsi="Book Antiqua"/>
          <w:sz w:val="24"/>
        </w:rPr>
        <w:t>tax</w:t>
      </w:r>
      <w:r w:rsidRPr="0028189D">
        <w:rPr>
          <w:rFonts w:ascii="Book Antiqua" w:hAnsi="Book Antiqua"/>
          <w:sz w:val="24"/>
        </w:rPr>
        <w:t xml:space="preserve"> has been deducted </w:t>
      </w:r>
      <w:r w:rsidR="009C3816">
        <w:rPr>
          <w:rFonts w:ascii="Book Antiqua" w:hAnsi="Book Antiqua"/>
          <w:sz w:val="24"/>
        </w:rPr>
        <w:t xml:space="preserve">by an employer </w:t>
      </w:r>
      <w:r w:rsidRPr="0028189D">
        <w:rPr>
          <w:rFonts w:ascii="Book Antiqua" w:hAnsi="Book Antiqua"/>
          <w:sz w:val="24"/>
        </w:rPr>
        <w:t xml:space="preserve">but not paid to the Central Government, the department </w:t>
      </w:r>
      <w:r w:rsidR="001A6600">
        <w:rPr>
          <w:rFonts w:ascii="Book Antiqua" w:hAnsi="Book Antiqua"/>
          <w:sz w:val="24"/>
        </w:rPr>
        <w:t>should resort</w:t>
      </w:r>
      <w:r w:rsidRPr="0028189D">
        <w:rPr>
          <w:rFonts w:ascii="Book Antiqua" w:hAnsi="Book Antiqua"/>
          <w:sz w:val="24"/>
        </w:rPr>
        <w:t xml:space="preserve"> to Section 201 </w:t>
      </w:r>
      <w:r w:rsidR="00B514B3">
        <w:rPr>
          <w:rFonts w:ascii="Book Antiqua" w:hAnsi="Book Antiqua"/>
          <w:sz w:val="24"/>
        </w:rPr>
        <w:t>to</w:t>
      </w:r>
      <w:r w:rsidRPr="0028189D">
        <w:rPr>
          <w:rFonts w:ascii="Book Antiqua" w:hAnsi="Book Antiqua"/>
          <w:sz w:val="24"/>
        </w:rPr>
        <w:t xml:space="preserve"> re</w:t>
      </w:r>
      <w:r w:rsidR="002736F0">
        <w:rPr>
          <w:rFonts w:ascii="Book Antiqua" w:hAnsi="Book Antiqua"/>
          <w:sz w:val="24"/>
        </w:rPr>
        <w:t>cover</w:t>
      </w:r>
      <w:r w:rsidR="00E526CE">
        <w:rPr>
          <w:rFonts w:ascii="Book Antiqua" w:hAnsi="Book Antiqua"/>
          <w:sz w:val="24"/>
        </w:rPr>
        <w:t xml:space="preserve"> </w:t>
      </w:r>
      <w:r w:rsidRPr="0028189D">
        <w:rPr>
          <w:rFonts w:ascii="Book Antiqua" w:hAnsi="Book Antiqua"/>
          <w:sz w:val="24"/>
        </w:rPr>
        <w:t>TDS with the employer.</w:t>
      </w:r>
    </w:p>
    <w:p w:rsidR="006666B1" w:rsidRPr="004621DC" w:rsidRDefault="00244AA4" w:rsidP="004621DC">
      <w:pPr>
        <w:jc w:val="both"/>
        <w:rPr>
          <w:rFonts w:ascii="Book Antiqua" w:hAnsi="Book Antiqua"/>
          <w:i/>
          <w:sz w:val="24"/>
        </w:rPr>
      </w:pPr>
      <w:r>
        <w:rPr>
          <w:rFonts w:ascii="Book Antiqua" w:hAnsi="Book Antiqua"/>
          <w:i/>
          <w:sz w:val="24"/>
        </w:rPr>
        <w:t>Facts</w:t>
      </w:r>
    </w:p>
    <w:p w:rsidR="00BD042E" w:rsidRDefault="008A74CA" w:rsidP="004621DC">
      <w:pPr>
        <w:jc w:val="both"/>
        <w:rPr>
          <w:rFonts w:ascii="Book Antiqua" w:hAnsi="Book Antiqua"/>
          <w:sz w:val="24"/>
        </w:rPr>
      </w:pPr>
      <w:r>
        <w:rPr>
          <w:rFonts w:ascii="Book Antiqua" w:hAnsi="Book Antiqua"/>
          <w:sz w:val="24"/>
        </w:rPr>
        <w:t>The a</w:t>
      </w:r>
      <w:r w:rsidR="00BD042E" w:rsidRPr="004621DC">
        <w:rPr>
          <w:rFonts w:ascii="Book Antiqua" w:hAnsi="Book Antiqua"/>
          <w:sz w:val="24"/>
        </w:rPr>
        <w:t xml:space="preserve">ssessee was a pilot </w:t>
      </w:r>
      <w:r w:rsidR="00865CA7">
        <w:rPr>
          <w:rFonts w:ascii="Book Antiqua" w:hAnsi="Book Antiqua"/>
          <w:sz w:val="24"/>
        </w:rPr>
        <w:t>with</w:t>
      </w:r>
      <w:r w:rsidR="00BD042E" w:rsidRPr="004621DC">
        <w:rPr>
          <w:rFonts w:ascii="Book Antiqua" w:hAnsi="Book Antiqua"/>
          <w:sz w:val="24"/>
        </w:rPr>
        <w:t xml:space="preserve"> Kingfisher Airlines</w:t>
      </w:r>
      <w:r w:rsidR="007D73A4">
        <w:rPr>
          <w:rFonts w:ascii="Book Antiqua" w:hAnsi="Book Antiqua"/>
          <w:sz w:val="24"/>
        </w:rPr>
        <w:t xml:space="preserve"> (‘employer’)</w:t>
      </w:r>
      <w:r w:rsidR="00BD042E" w:rsidRPr="004621DC">
        <w:rPr>
          <w:rFonts w:ascii="Book Antiqua" w:hAnsi="Book Antiqua"/>
          <w:sz w:val="24"/>
        </w:rPr>
        <w:t xml:space="preserve">. The </w:t>
      </w:r>
      <w:r w:rsidR="007D73A4">
        <w:rPr>
          <w:rFonts w:ascii="Book Antiqua" w:hAnsi="Book Antiqua"/>
          <w:sz w:val="24"/>
        </w:rPr>
        <w:t>employer</w:t>
      </w:r>
      <w:r w:rsidR="00BD042E" w:rsidRPr="004621DC">
        <w:rPr>
          <w:rFonts w:ascii="Book Antiqua" w:hAnsi="Book Antiqua"/>
          <w:sz w:val="24"/>
        </w:rPr>
        <w:t xml:space="preserve"> had </w:t>
      </w:r>
      <w:r w:rsidR="00E650A5">
        <w:rPr>
          <w:rFonts w:ascii="Book Antiqua" w:hAnsi="Book Antiqua"/>
          <w:sz w:val="24"/>
        </w:rPr>
        <w:t xml:space="preserve">deducted </w:t>
      </w:r>
      <w:r w:rsidR="00BD042E" w:rsidRPr="004621DC">
        <w:rPr>
          <w:rFonts w:ascii="Book Antiqua" w:hAnsi="Book Antiqua"/>
          <w:sz w:val="24"/>
        </w:rPr>
        <w:t>tax a</w:t>
      </w:r>
      <w:r w:rsidR="00815FED">
        <w:rPr>
          <w:rFonts w:ascii="Book Antiqua" w:hAnsi="Book Antiqua"/>
          <w:sz w:val="24"/>
        </w:rPr>
        <w:t>t source (TDS) from the salary</w:t>
      </w:r>
      <w:r w:rsidR="00BD042E" w:rsidRPr="004621DC">
        <w:rPr>
          <w:rFonts w:ascii="Book Antiqua" w:hAnsi="Book Antiqua"/>
          <w:sz w:val="24"/>
        </w:rPr>
        <w:t xml:space="preserve"> income of the assessee for the Assessment Year 2009-10 and 2011-12. However, the said TDS amount had not been deposited by the Airlines in the Central Government Account.</w:t>
      </w:r>
      <w:r w:rsidR="001F21F7">
        <w:rPr>
          <w:rFonts w:ascii="Book Antiqua" w:hAnsi="Book Antiqua"/>
          <w:sz w:val="24"/>
        </w:rPr>
        <w:t xml:space="preserve"> </w:t>
      </w:r>
      <w:r w:rsidR="00BD042E" w:rsidRPr="004621DC">
        <w:rPr>
          <w:rFonts w:ascii="Book Antiqua" w:hAnsi="Book Antiqua"/>
          <w:sz w:val="24"/>
        </w:rPr>
        <w:t xml:space="preserve">Accordingly, the TDS credit as claimed by the assessee was </w:t>
      </w:r>
      <w:r w:rsidR="001F21F7">
        <w:rPr>
          <w:rFonts w:ascii="Book Antiqua" w:hAnsi="Book Antiqua"/>
          <w:sz w:val="24"/>
        </w:rPr>
        <w:t xml:space="preserve">denied </w:t>
      </w:r>
      <w:r w:rsidR="00BD042E" w:rsidRPr="004621DC">
        <w:rPr>
          <w:rFonts w:ascii="Book Antiqua" w:hAnsi="Book Antiqua"/>
          <w:sz w:val="24"/>
        </w:rPr>
        <w:t xml:space="preserve">by the Assessing Officer (AO). </w:t>
      </w:r>
      <w:r w:rsidR="00AE63A0">
        <w:rPr>
          <w:rFonts w:ascii="Book Antiqua" w:hAnsi="Book Antiqua"/>
          <w:sz w:val="24"/>
        </w:rPr>
        <w:t xml:space="preserve">The </w:t>
      </w:r>
      <w:r w:rsidR="00BD042E" w:rsidRPr="004621DC">
        <w:rPr>
          <w:rFonts w:ascii="Book Antiqua" w:hAnsi="Book Antiqua"/>
          <w:sz w:val="24"/>
        </w:rPr>
        <w:t xml:space="preserve">AO raised demand with interest and initiated recovery proceedings. The assessee filed </w:t>
      </w:r>
      <w:r w:rsidR="00FF5519">
        <w:rPr>
          <w:rFonts w:ascii="Book Antiqua" w:hAnsi="Book Antiqua"/>
          <w:sz w:val="24"/>
        </w:rPr>
        <w:t xml:space="preserve">a </w:t>
      </w:r>
      <w:r w:rsidR="00BD042E" w:rsidRPr="004621DC">
        <w:rPr>
          <w:rFonts w:ascii="Book Antiqua" w:hAnsi="Book Antiqua"/>
          <w:sz w:val="24"/>
        </w:rPr>
        <w:t xml:space="preserve">writ petition before the Gujarat High Court against recovery notices. </w:t>
      </w:r>
    </w:p>
    <w:p w:rsidR="006074CD" w:rsidRPr="006074CD" w:rsidRDefault="006074CD" w:rsidP="004621DC">
      <w:pPr>
        <w:jc w:val="both"/>
        <w:rPr>
          <w:rFonts w:ascii="Book Antiqua" w:hAnsi="Book Antiqua"/>
          <w:i/>
          <w:sz w:val="24"/>
        </w:rPr>
      </w:pPr>
      <w:r w:rsidRPr="006074CD">
        <w:rPr>
          <w:rFonts w:ascii="Book Antiqua" w:hAnsi="Book Antiqua"/>
          <w:i/>
          <w:sz w:val="24"/>
        </w:rPr>
        <w:t>Ruling</w:t>
      </w:r>
    </w:p>
    <w:p w:rsidR="00BD042E" w:rsidRPr="004621DC" w:rsidRDefault="0028189D" w:rsidP="004621DC">
      <w:pPr>
        <w:jc w:val="both"/>
        <w:rPr>
          <w:rFonts w:ascii="Book Antiqua" w:hAnsi="Book Antiqua"/>
          <w:sz w:val="24"/>
        </w:rPr>
      </w:pPr>
      <w:r>
        <w:rPr>
          <w:rFonts w:ascii="Book Antiqua" w:hAnsi="Book Antiqua"/>
          <w:sz w:val="24"/>
        </w:rPr>
        <w:t>T</w:t>
      </w:r>
      <w:r w:rsidR="00BD042E" w:rsidRPr="004621DC">
        <w:rPr>
          <w:rFonts w:ascii="Book Antiqua" w:hAnsi="Book Antiqua"/>
          <w:sz w:val="24"/>
        </w:rPr>
        <w:t xml:space="preserve">he Gujarat High Court has relied upon the ruling delivered by the </w:t>
      </w:r>
      <w:proofErr w:type="spellStart"/>
      <w:r w:rsidR="00BD042E" w:rsidRPr="004621DC">
        <w:rPr>
          <w:rFonts w:ascii="Book Antiqua" w:hAnsi="Book Antiqua"/>
          <w:sz w:val="24"/>
        </w:rPr>
        <w:t>Gauhati</w:t>
      </w:r>
      <w:proofErr w:type="spellEnd"/>
      <w:r w:rsidR="00BD042E" w:rsidRPr="004621DC">
        <w:rPr>
          <w:rFonts w:ascii="Book Antiqua" w:hAnsi="Book Antiqua"/>
          <w:sz w:val="24"/>
        </w:rPr>
        <w:t xml:space="preserve"> High Court in the case of </w:t>
      </w:r>
      <w:r w:rsidR="00BD042E" w:rsidRPr="004A2734">
        <w:rPr>
          <w:rFonts w:ascii="Book Antiqua" w:hAnsi="Book Antiqua"/>
          <w:i/>
          <w:sz w:val="24"/>
        </w:rPr>
        <w:t xml:space="preserve">Om Prakash </w:t>
      </w:r>
      <w:proofErr w:type="spellStart"/>
      <w:r w:rsidR="00BD042E" w:rsidRPr="004A2734">
        <w:rPr>
          <w:rFonts w:ascii="Book Antiqua" w:hAnsi="Book Antiqua"/>
          <w:i/>
          <w:sz w:val="24"/>
        </w:rPr>
        <w:t>Gattani</w:t>
      </w:r>
      <w:proofErr w:type="spellEnd"/>
      <w:r w:rsidR="00BD042E" w:rsidRPr="004A2734">
        <w:rPr>
          <w:rFonts w:ascii="Book Antiqua" w:hAnsi="Book Antiqua"/>
          <w:i/>
          <w:sz w:val="24"/>
        </w:rPr>
        <w:t xml:space="preserve"> [2001] 117 Taxman 549 (</w:t>
      </w:r>
      <w:proofErr w:type="spellStart"/>
      <w:r w:rsidR="00BD042E" w:rsidRPr="004A2734">
        <w:rPr>
          <w:rFonts w:ascii="Book Antiqua" w:hAnsi="Book Antiqua"/>
          <w:i/>
          <w:sz w:val="24"/>
        </w:rPr>
        <w:t>Gauhati</w:t>
      </w:r>
      <w:proofErr w:type="spellEnd"/>
      <w:r w:rsidR="00BD042E" w:rsidRPr="004A2734">
        <w:rPr>
          <w:rFonts w:ascii="Book Antiqua" w:hAnsi="Book Antiqua"/>
          <w:i/>
          <w:sz w:val="24"/>
        </w:rPr>
        <w:t>)</w:t>
      </w:r>
      <w:r w:rsidR="00BD042E" w:rsidRPr="004621DC">
        <w:rPr>
          <w:rFonts w:ascii="Book Antiqua" w:hAnsi="Book Antiqua"/>
          <w:sz w:val="24"/>
        </w:rPr>
        <w:t xml:space="preserve">. The Court held that a </w:t>
      </w:r>
      <w:r w:rsidR="00BD042E" w:rsidRPr="004621DC">
        <w:rPr>
          <w:rFonts w:ascii="Book Antiqua" w:hAnsi="Book Antiqua"/>
          <w:sz w:val="24"/>
        </w:rPr>
        <w:lastRenderedPageBreak/>
        <w:t>perusal of Section 205 clarifies that where tax is deductible at source, the assessee shall not be called upon to pay the tax himself to the extent to which tax has been deducted from that income.</w:t>
      </w:r>
    </w:p>
    <w:p w:rsidR="00BD042E" w:rsidRPr="004621DC" w:rsidRDefault="00BD042E" w:rsidP="004621DC">
      <w:pPr>
        <w:jc w:val="both"/>
        <w:rPr>
          <w:rFonts w:ascii="Book Antiqua" w:hAnsi="Book Antiqua"/>
          <w:sz w:val="24"/>
        </w:rPr>
      </w:pPr>
      <w:r w:rsidRPr="004621DC">
        <w:rPr>
          <w:rFonts w:ascii="Book Antiqua" w:hAnsi="Book Antiqua"/>
          <w:sz w:val="24"/>
        </w:rPr>
        <w:t xml:space="preserve">Further, if the amount has been deducted but not paid to the Central Government, that eventuality is taken care of by Section 201 of the Income-tax Act. </w:t>
      </w:r>
      <w:r w:rsidR="00491AA7">
        <w:rPr>
          <w:rFonts w:ascii="Book Antiqua" w:hAnsi="Book Antiqua"/>
          <w:sz w:val="24"/>
        </w:rPr>
        <w:t>I</w:t>
      </w:r>
      <w:r w:rsidRPr="004621DC">
        <w:rPr>
          <w:rFonts w:ascii="Book Antiqua" w:hAnsi="Book Antiqua"/>
          <w:sz w:val="24"/>
        </w:rPr>
        <w:t xml:space="preserve">t </w:t>
      </w:r>
      <w:r w:rsidR="00491AA7">
        <w:rPr>
          <w:rFonts w:ascii="Book Antiqua" w:hAnsi="Book Antiqua"/>
          <w:sz w:val="24"/>
        </w:rPr>
        <w:t>is not</w:t>
      </w:r>
      <w:r w:rsidRPr="004621DC">
        <w:rPr>
          <w:rFonts w:ascii="Book Antiqua" w:hAnsi="Book Antiqua"/>
          <w:sz w:val="24"/>
        </w:rPr>
        <w:t xml:space="preserve"> permissible to proceed against the assessee even after deduction of tax at source.</w:t>
      </w:r>
    </w:p>
    <w:p w:rsidR="00BD042E" w:rsidRPr="004621DC" w:rsidRDefault="00BD042E" w:rsidP="004621DC">
      <w:pPr>
        <w:jc w:val="both"/>
        <w:rPr>
          <w:rFonts w:ascii="Book Antiqua" w:hAnsi="Book Antiqua"/>
          <w:sz w:val="24"/>
        </w:rPr>
      </w:pPr>
      <w:r w:rsidRPr="004621DC">
        <w:rPr>
          <w:rFonts w:ascii="Book Antiqua" w:hAnsi="Book Antiqua"/>
          <w:sz w:val="24"/>
        </w:rPr>
        <w:t xml:space="preserve">The Gujarat High Court allowed the petition and held that </w:t>
      </w:r>
      <w:r w:rsidR="00D33AA1">
        <w:rPr>
          <w:rFonts w:ascii="Book Antiqua" w:hAnsi="Book Antiqua"/>
          <w:sz w:val="24"/>
        </w:rPr>
        <w:t>t</w:t>
      </w:r>
      <w:r w:rsidRPr="004621DC">
        <w:rPr>
          <w:rFonts w:ascii="Book Antiqua" w:hAnsi="Book Antiqua"/>
          <w:sz w:val="24"/>
        </w:rPr>
        <w:t>he department is precluded from denying the benefit of tax deducted at source by the employer during the relevant financial years to the assessee.</w:t>
      </w:r>
    </w:p>
    <w:p w:rsidR="00BD042E" w:rsidRDefault="00BD042E" w:rsidP="004621DC">
      <w:pPr>
        <w:jc w:val="both"/>
        <w:rPr>
          <w:rFonts w:ascii="Book Antiqua" w:hAnsi="Book Antiqua"/>
          <w:sz w:val="24"/>
        </w:rPr>
      </w:pPr>
      <w:r w:rsidRPr="004621DC">
        <w:rPr>
          <w:rFonts w:ascii="Book Antiqua" w:hAnsi="Book Antiqua"/>
          <w:sz w:val="24"/>
        </w:rPr>
        <w:t>The credit of tax shall be given to the assessee</w:t>
      </w:r>
      <w:r w:rsidR="004419A1">
        <w:rPr>
          <w:rFonts w:ascii="Book Antiqua" w:hAnsi="Book Antiqua"/>
          <w:sz w:val="24"/>
        </w:rPr>
        <w:t>. I</w:t>
      </w:r>
      <w:r w:rsidRPr="004621DC">
        <w:rPr>
          <w:rFonts w:ascii="Book Antiqua" w:hAnsi="Book Antiqua"/>
          <w:sz w:val="24"/>
        </w:rPr>
        <w:t xml:space="preserve">f </w:t>
      </w:r>
      <w:r w:rsidR="004419A1">
        <w:rPr>
          <w:rFonts w:ascii="Book Antiqua" w:hAnsi="Book Antiqua"/>
          <w:sz w:val="24"/>
        </w:rPr>
        <w:t>the AO makes any recovery or makes adjustment</w:t>
      </w:r>
      <w:r w:rsidR="00512D87">
        <w:rPr>
          <w:rFonts w:ascii="Book Antiqua" w:hAnsi="Book Antiqua"/>
          <w:sz w:val="24"/>
        </w:rPr>
        <w:t>s</w:t>
      </w:r>
      <w:r w:rsidRPr="004621DC">
        <w:rPr>
          <w:rFonts w:ascii="Book Antiqua" w:hAnsi="Book Antiqua"/>
          <w:sz w:val="24"/>
        </w:rPr>
        <w:t xml:space="preserve">, the assessee shall be entitled to </w:t>
      </w:r>
      <w:r w:rsidR="003635FA">
        <w:rPr>
          <w:rFonts w:ascii="Book Antiqua" w:hAnsi="Book Antiqua"/>
          <w:sz w:val="24"/>
        </w:rPr>
        <w:t>a</w:t>
      </w:r>
      <w:r w:rsidRPr="004621DC">
        <w:rPr>
          <w:rFonts w:ascii="Book Antiqua" w:hAnsi="Book Antiqua"/>
          <w:sz w:val="24"/>
        </w:rPr>
        <w:t xml:space="preserve"> refund of the same along with the statutory interest.</w:t>
      </w:r>
    </w:p>
    <w:p w:rsidR="00D60295" w:rsidRPr="0028189D" w:rsidRDefault="00E8140F" w:rsidP="004621DC">
      <w:pPr>
        <w:jc w:val="both"/>
        <w:rPr>
          <w:rFonts w:ascii="Book Antiqua" w:hAnsi="Book Antiqua"/>
          <w:i/>
          <w:sz w:val="24"/>
        </w:rPr>
      </w:pPr>
      <w:hyperlink r:id="rId6" w:history="1">
        <w:r w:rsidR="0028189D" w:rsidRPr="00D60295">
          <w:rPr>
            <w:rStyle w:val="Hyperlink"/>
            <w:rFonts w:ascii="Book Antiqua" w:hAnsi="Book Antiqua"/>
            <w:i/>
            <w:sz w:val="24"/>
          </w:rPr>
          <w:t>Read the Ruling</w:t>
        </w:r>
      </w:hyperlink>
    </w:p>
    <w:p w:rsidR="0028189D" w:rsidRPr="004621DC" w:rsidRDefault="0028189D" w:rsidP="004621DC">
      <w:pPr>
        <w:jc w:val="both"/>
        <w:rPr>
          <w:rFonts w:ascii="Book Antiqua" w:hAnsi="Book Antiqua"/>
          <w:sz w:val="24"/>
        </w:rPr>
      </w:pPr>
    </w:p>
    <w:p w:rsidR="00BD042E" w:rsidRPr="000D2BF8" w:rsidRDefault="00BD042E" w:rsidP="000D2BF8">
      <w:pPr>
        <w:pStyle w:val="ListParagraph"/>
        <w:numPr>
          <w:ilvl w:val="0"/>
          <w:numId w:val="39"/>
        </w:numPr>
        <w:jc w:val="both"/>
        <w:rPr>
          <w:rFonts w:ascii="Book Antiqua" w:hAnsi="Book Antiqua"/>
          <w:b/>
          <w:sz w:val="24"/>
        </w:rPr>
      </w:pPr>
      <w:r w:rsidRPr="000D2BF8">
        <w:rPr>
          <w:rFonts w:ascii="Book Antiqua" w:hAnsi="Book Antiqua"/>
          <w:b/>
          <w:sz w:val="24"/>
        </w:rPr>
        <w:t>FAQs on Income-tax Returns for Assessment Year 2021-22</w:t>
      </w:r>
    </w:p>
    <w:p w:rsidR="00BD042E" w:rsidRPr="004621DC" w:rsidRDefault="00BD042E" w:rsidP="004621DC">
      <w:pPr>
        <w:jc w:val="both"/>
        <w:rPr>
          <w:rFonts w:ascii="Book Antiqua" w:hAnsi="Book Antiqua"/>
          <w:sz w:val="24"/>
        </w:rPr>
      </w:pPr>
      <w:r w:rsidRPr="004621DC">
        <w:rPr>
          <w:rFonts w:ascii="Book Antiqua" w:hAnsi="Book Antiqua"/>
          <w:sz w:val="24"/>
        </w:rPr>
        <w:t>The return filing generally starts in the month of July. However, the Govt. has extended the due dates for filing of ITR for all categories of taxpayers due to the COVID-19 situation and the new e-filing platform.</w:t>
      </w:r>
    </w:p>
    <w:p w:rsidR="00EB2721" w:rsidRPr="004621DC" w:rsidRDefault="00BD042E" w:rsidP="004621DC">
      <w:pPr>
        <w:jc w:val="both"/>
        <w:rPr>
          <w:rFonts w:ascii="Book Antiqua" w:hAnsi="Book Antiqua"/>
          <w:sz w:val="24"/>
        </w:rPr>
      </w:pPr>
      <w:r w:rsidRPr="004621DC">
        <w:rPr>
          <w:rFonts w:ascii="Book Antiqua" w:hAnsi="Book Antiqua"/>
          <w:sz w:val="24"/>
        </w:rPr>
        <w:t>In this special write-up, we have prepared 60 FAQs on the filing of ITRs, which are bifurcated into various categories. FAQs have been prepared on the applicable ITR forms, due dates for different taxpayers’ categories, tutorials with screenshots on filing returns on the new e-filing platform, guidance on TDS mismatches, foreign tax credit, so on, and so forth.</w:t>
      </w:r>
    </w:p>
    <w:p w:rsidR="006E4CDA" w:rsidRPr="004621DC" w:rsidRDefault="00E8140F" w:rsidP="004621DC">
      <w:pPr>
        <w:jc w:val="both"/>
        <w:rPr>
          <w:rStyle w:val="Hyperlink"/>
          <w:rFonts w:ascii="Book Antiqua" w:hAnsi="Book Antiqua"/>
          <w:i/>
          <w:sz w:val="24"/>
        </w:rPr>
      </w:pPr>
      <w:hyperlink r:id="rId7" w:history="1">
        <w:r w:rsidR="00BD042E" w:rsidRPr="004621DC">
          <w:rPr>
            <w:rStyle w:val="Hyperlink"/>
            <w:rFonts w:ascii="Book Antiqua" w:hAnsi="Book Antiqua"/>
            <w:i/>
            <w:sz w:val="24"/>
          </w:rPr>
          <w:t>Read the complete article</w:t>
        </w:r>
      </w:hyperlink>
    </w:p>
    <w:p w:rsidR="006E4CDA" w:rsidRPr="004621DC" w:rsidRDefault="006E4CDA" w:rsidP="004621DC">
      <w:pPr>
        <w:jc w:val="both"/>
        <w:rPr>
          <w:rStyle w:val="Hyperlink"/>
          <w:rFonts w:ascii="Book Antiqua" w:hAnsi="Book Antiqua"/>
          <w:i/>
          <w:sz w:val="24"/>
        </w:rPr>
      </w:pPr>
    </w:p>
    <w:p w:rsidR="00F8264D" w:rsidRPr="004621DC" w:rsidRDefault="00F8264D" w:rsidP="000D2BF8">
      <w:pPr>
        <w:pStyle w:val="ListParagraph"/>
        <w:numPr>
          <w:ilvl w:val="0"/>
          <w:numId w:val="39"/>
        </w:numPr>
        <w:jc w:val="both"/>
        <w:rPr>
          <w:rFonts w:ascii="Book Antiqua" w:hAnsi="Book Antiqua"/>
          <w:b/>
          <w:color w:val="000000"/>
          <w:sz w:val="24"/>
          <w:szCs w:val="26"/>
        </w:rPr>
      </w:pPr>
      <w:r w:rsidRPr="004621DC">
        <w:rPr>
          <w:rFonts w:ascii="Book Antiqua" w:hAnsi="Book Antiqua"/>
          <w:b/>
          <w:color w:val="000000"/>
          <w:sz w:val="24"/>
          <w:szCs w:val="26"/>
        </w:rPr>
        <w:t>CCI dismisses a complaint filed by pharma wholesalers for anti-competitive practices against 17 pharmaceutical Cos.</w:t>
      </w:r>
    </w:p>
    <w:p w:rsidR="00F8264D" w:rsidRPr="004621DC" w:rsidRDefault="00F8264D" w:rsidP="004621DC">
      <w:pPr>
        <w:pStyle w:val="body"/>
        <w:jc w:val="both"/>
        <w:rPr>
          <w:rFonts w:ascii="Book Antiqua" w:hAnsi="Book Antiqua"/>
          <w:color w:val="000000"/>
          <w:szCs w:val="26"/>
        </w:rPr>
      </w:pPr>
      <w:r w:rsidRPr="004621DC">
        <w:rPr>
          <w:rFonts w:ascii="Book Antiqua" w:hAnsi="Book Antiqua"/>
          <w:color w:val="000000"/>
          <w:szCs w:val="26"/>
        </w:rPr>
        <w:t xml:space="preserve">The informant </w:t>
      </w:r>
      <w:proofErr w:type="spellStart"/>
      <w:r w:rsidRPr="004621DC">
        <w:rPr>
          <w:rFonts w:ascii="Book Antiqua" w:hAnsi="Book Antiqua"/>
          <w:color w:val="000000"/>
          <w:szCs w:val="26"/>
        </w:rPr>
        <w:t>Zippigo</w:t>
      </w:r>
      <w:proofErr w:type="spellEnd"/>
      <w:r w:rsidRPr="004621DC">
        <w:rPr>
          <w:rFonts w:ascii="Book Antiqua" w:hAnsi="Book Antiqua"/>
          <w:color w:val="000000"/>
          <w:szCs w:val="26"/>
        </w:rPr>
        <w:t xml:space="preserve"> Pharma, a firm engaged in </w:t>
      </w:r>
      <w:r w:rsidR="00D1388A">
        <w:rPr>
          <w:rFonts w:ascii="Book Antiqua" w:hAnsi="Book Antiqua"/>
          <w:color w:val="000000"/>
          <w:szCs w:val="26"/>
        </w:rPr>
        <w:t xml:space="preserve">the business </w:t>
      </w:r>
      <w:r w:rsidRPr="004621DC">
        <w:rPr>
          <w:rFonts w:ascii="Book Antiqua" w:hAnsi="Book Antiqua"/>
          <w:color w:val="000000"/>
          <w:szCs w:val="26"/>
        </w:rPr>
        <w:t>wholesale of medicines, filed a complaint under section 19(1)(a) of the Competition Act, 2002 (</w:t>
      </w:r>
      <w:r w:rsidR="008255A1">
        <w:rPr>
          <w:rFonts w:ascii="Book Antiqua" w:hAnsi="Book Antiqua"/>
          <w:color w:val="000000"/>
          <w:szCs w:val="26"/>
        </w:rPr>
        <w:t>‘</w:t>
      </w:r>
      <w:r w:rsidRPr="004621DC">
        <w:rPr>
          <w:rFonts w:ascii="Book Antiqua" w:hAnsi="Book Antiqua"/>
          <w:color w:val="000000"/>
          <w:szCs w:val="26"/>
        </w:rPr>
        <w:t>Act</w:t>
      </w:r>
      <w:r w:rsidR="008255A1">
        <w:rPr>
          <w:rFonts w:ascii="Book Antiqua" w:hAnsi="Book Antiqua"/>
          <w:color w:val="000000"/>
          <w:szCs w:val="26"/>
        </w:rPr>
        <w:t>’</w:t>
      </w:r>
      <w:r w:rsidRPr="004621DC">
        <w:rPr>
          <w:rFonts w:ascii="Book Antiqua" w:hAnsi="Book Antiqua"/>
          <w:color w:val="000000"/>
          <w:szCs w:val="26"/>
        </w:rPr>
        <w:t>) alleging contravention of the provisions of Sections 3 and 4 of the Act by the 17 Pharmaceuticals [Opposite Parties (</w:t>
      </w:r>
      <w:r w:rsidR="008255A1">
        <w:rPr>
          <w:rFonts w:ascii="Book Antiqua" w:hAnsi="Book Antiqua"/>
          <w:color w:val="000000"/>
          <w:szCs w:val="26"/>
        </w:rPr>
        <w:t>‘</w:t>
      </w:r>
      <w:r w:rsidRPr="004621DC">
        <w:rPr>
          <w:rFonts w:ascii="Book Antiqua" w:hAnsi="Book Antiqua"/>
          <w:color w:val="000000"/>
          <w:szCs w:val="26"/>
        </w:rPr>
        <w:t>OP</w:t>
      </w:r>
      <w:r w:rsidR="008255A1">
        <w:rPr>
          <w:rFonts w:ascii="Book Antiqua" w:hAnsi="Book Antiqua"/>
          <w:color w:val="000000"/>
          <w:szCs w:val="26"/>
        </w:rPr>
        <w:t>’</w:t>
      </w:r>
      <w:r w:rsidRPr="004621DC">
        <w:rPr>
          <w:rFonts w:ascii="Book Antiqua" w:hAnsi="Book Antiqua"/>
          <w:color w:val="000000"/>
          <w:szCs w:val="26"/>
        </w:rPr>
        <w:t>)]</w:t>
      </w:r>
    </w:p>
    <w:p w:rsidR="00F8264D" w:rsidRPr="004621DC" w:rsidRDefault="00F8264D" w:rsidP="004621DC">
      <w:pPr>
        <w:pStyle w:val="body"/>
        <w:jc w:val="both"/>
        <w:rPr>
          <w:rFonts w:ascii="Book Antiqua" w:hAnsi="Book Antiqua"/>
          <w:color w:val="000000"/>
          <w:szCs w:val="26"/>
        </w:rPr>
      </w:pPr>
      <w:r w:rsidRPr="004621DC">
        <w:rPr>
          <w:rFonts w:ascii="Book Antiqua" w:hAnsi="Book Antiqua"/>
          <w:color w:val="000000"/>
          <w:szCs w:val="26"/>
        </w:rPr>
        <w:t xml:space="preserve">The information stated that pharmaceutical companies asked the </w:t>
      </w:r>
      <w:r w:rsidR="00D1388A">
        <w:rPr>
          <w:rFonts w:ascii="Book Antiqua" w:hAnsi="Book Antiqua"/>
          <w:color w:val="000000"/>
          <w:szCs w:val="26"/>
        </w:rPr>
        <w:t>i</w:t>
      </w:r>
      <w:r w:rsidRPr="004621DC">
        <w:rPr>
          <w:rFonts w:ascii="Book Antiqua" w:hAnsi="Book Antiqua"/>
          <w:color w:val="000000"/>
          <w:szCs w:val="26"/>
        </w:rPr>
        <w:t xml:space="preserve">nformant to adhere to certain terms and conditions, only consequent to which they would supply the drug to </w:t>
      </w:r>
      <w:r w:rsidRPr="004621DC">
        <w:rPr>
          <w:rFonts w:ascii="Book Antiqua" w:hAnsi="Book Antiqua"/>
          <w:color w:val="000000"/>
          <w:szCs w:val="26"/>
        </w:rPr>
        <w:lastRenderedPageBreak/>
        <w:t xml:space="preserve">him. However, these terms and conditions did not apply to similarly placed wholesalers. The </w:t>
      </w:r>
      <w:r w:rsidR="00D1388A">
        <w:rPr>
          <w:rFonts w:ascii="Book Antiqua" w:hAnsi="Book Antiqua"/>
          <w:color w:val="000000"/>
          <w:szCs w:val="26"/>
        </w:rPr>
        <w:t>i</w:t>
      </w:r>
      <w:r w:rsidRPr="004621DC">
        <w:rPr>
          <w:rFonts w:ascii="Book Antiqua" w:hAnsi="Book Antiqua"/>
          <w:color w:val="000000"/>
          <w:szCs w:val="26"/>
        </w:rPr>
        <w:t>nformant was aggrieved mainly by the following terms made applicable to it:</w:t>
      </w:r>
    </w:p>
    <w:p w:rsidR="00F8264D" w:rsidRPr="004621DC" w:rsidRDefault="00F8264D" w:rsidP="00D1388A">
      <w:pPr>
        <w:pStyle w:val="body"/>
        <w:numPr>
          <w:ilvl w:val="0"/>
          <w:numId w:val="37"/>
        </w:numPr>
        <w:ind w:left="360"/>
        <w:jc w:val="both"/>
        <w:rPr>
          <w:rFonts w:ascii="Book Antiqua" w:hAnsi="Book Antiqua"/>
          <w:color w:val="000000"/>
          <w:szCs w:val="26"/>
        </w:rPr>
      </w:pPr>
      <w:r w:rsidRPr="004621DC">
        <w:rPr>
          <w:rFonts w:ascii="Book Antiqua" w:hAnsi="Book Antiqua"/>
          <w:color w:val="000000"/>
          <w:szCs w:val="26"/>
        </w:rPr>
        <w:t xml:space="preserve">Requirement of advance payment by the </w:t>
      </w:r>
      <w:r w:rsidR="00D1388A">
        <w:rPr>
          <w:rFonts w:ascii="Book Antiqua" w:hAnsi="Book Antiqua"/>
          <w:color w:val="000000"/>
          <w:szCs w:val="26"/>
        </w:rPr>
        <w:t>i</w:t>
      </w:r>
      <w:r w:rsidRPr="004621DC">
        <w:rPr>
          <w:rFonts w:ascii="Book Antiqua" w:hAnsi="Book Antiqua"/>
          <w:color w:val="000000"/>
          <w:szCs w:val="26"/>
        </w:rPr>
        <w:t xml:space="preserve">nformant to pharmaceutical companies for obtaining a supply of drugs, which did not apply to other similarly placed local parties. Payment on account of the return of goods or expiry breakage was not refunded to the </w:t>
      </w:r>
      <w:r w:rsidR="00D1388A">
        <w:rPr>
          <w:rFonts w:ascii="Book Antiqua" w:hAnsi="Book Antiqua"/>
          <w:color w:val="000000"/>
          <w:szCs w:val="26"/>
        </w:rPr>
        <w:t>i</w:t>
      </w:r>
      <w:r w:rsidRPr="004621DC">
        <w:rPr>
          <w:rFonts w:ascii="Book Antiqua" w:hAnsi="Book Antiqua"/>
          <w:color w:val="000000"/>
          <w:szCs w:val="26"/>
        </w:rPr>
        <w:t xml:space="preserve">nformant, while other parties </w:t>
      </w:r>
      <w:r w:rsidR="00DE76DA">
        <w:rPr>
          <w:rFonts w:ascii="Book Antiqua" w:hAnsi="Book Antiqua"/>
          <w:color w:val="000000"/>
          <w:szCs w:val="26"/>
        </w:rPr>
        <w:t>had</w:t>
      </w:r>
      <w:r w:rsidRPr="004621DC">
        <w:rPr>
          <w:rFonts w:ascii="Book Antiqua" w:hAnsi="Book Antiqua"/>
          <w:color w:val="000000"/>
          <w:szCs w:val="26"/>
        </w:rPr>
        <w:t xml:space="preserve"> this facility.</w:t>
      </w:r>
    </w:p>
    <w:p w:rsidR="00F8264D" w:rsidRPr="004621DC" w:rsidRDefault="00F8264D" w:rsidP="00DE76DA">
      <w:pPr>
        <w:pStyle w:val="body"/>
        <w:numPr>
          <w:ilvl w:val="0"/>
          <w:numId w:val="37"/>
        </w:numPr>
        <w:ind w:left="360"/>
        <w:jc w:val="both"/>
        <w:rPr>
          <w:rFonts w:ascii="Book Antiqua" w:hAnsi="Book Antiqua"/>
          <w:color w:val="000000"/>
          <w:szCs w:val="26"/>
        </w:rPr>
      </w:pPr>
      <w:r w:rsidRPr="004621DC">
        <w:rPr>
          <w:rFonts w:ascii="Book Antiqua" w:hAnsi="Book Antiqua"/>
          <w:color w:val="000000"/>
          <w:szCs w:val="26"/>
        </w:rPr>
        <w:t>Informant was required to physically pick goods from pharmaceutical companies</w:t>
      </w:r>
      <w:r w:rsidR="008255A1">
        <w:rPr>
          <w:rFonts w:ascii="Book Antiqua" w:hAnsi="Book Antiqua"/>
          <w:color w:val="000000"/>
          <w:szCs w:val="26"/>
        </w:rPr>
        <w:t>’</w:t>
      </w:r>
      <w:r w:rsidRPr="004621DC">
        <w:rPr>
          <w:rFonts w:ascii="Book Antiqua" w:hAnsi="Book Antiqua"/>
          <w:color w:val="000000"/>
          <w:szCs w:val="26"/>
        </w:rPr>
        <w:t xml:space="preserve"> godown/depot/CFAs. The said condition does not apply to other parties.</w:t>
      </w:r>
    </w:p>
    <w:p w:rsidR="00F8264D" w:rsidRPr="004621DC" w:rsidRDefault="00F94210" w:rsidP="0073010A">
      <w:pPr>
        <w:pStyle w:val="body"/>
        <w:numPr>
          <w:ilvl w:val="0"/>
          <w:numId w:val="37"/>
        </w:numPr>
        <w:ind w:left="360"/>
        <w:jc w:val="both"/>
        <w:rPr>
          <w:rFonts w:ascii="Book Antiqua" w:hAnsi="Book Antiqua"/>
          <w:color w:val="000000"/>
          <w:szCs w:val="26"/>
        </w:rPr>
      </w:pPr>
      <w:r>
        <w:rPr>
          <w:rFonts w:ascii="Book Antiqua" w:hAnsi="Book Antiqua"/>
          <w:color w:val="000000"/>
          <w:szCs w:val="26"/>
        </w:rPr>
        <w:t xml:space="preserve">OPs require </w:t>
      </w:r>
      <w:r w:rsidR="00B5265B">
        <w:rPr>
          <w:rFonts w:ascii="Book Antiqua" w:hAnsi="Book Antiqua"/>
          <w:color w:val="000000"/>
          <w:szCs w:val="26"/>
        </w:rPr>
        <w:t xml:space="preserve">the </w:t>
      </w:r>
      <w:r>
        <w:rPr>
          <w:rFonts w:ascii="Book Antiqua" w:hAnsi="Book Antiqua"/>
          <w:color w:val="000000"/>
          <w:szCs w:val="26"/>
        </w:rPr>
        <w:t>informant</w:t>
      </w:r>
      <w:r w:rsidR="00F8264D" w:rsidRPr="004621DC">
        <w:rPr>
          <w:rFonts w:ascii="Book Antiqua" w:hAnsi="Book Antiqua"/>
          <w:color w:val="000000"/>
          <w:szCs w:val="26"/>
        </w:rPr>
        <w:t xml:space="preserve"> to take goods from their local </w:t>
      </w:r>
      <w:proofErr w:type="spellStart"/>
      <w:r w:rsidR="00F8264D" w:rsidRPr="004621DC">
        <w:rPr>
          <w:rFonts w:ascii="Book Antiqua" w:hAnsi="Book Antiqua"/>
          <w:color w:val="000000"/>
          <w:szCs w:val="26"/>
        </w:rPr>
        <w:t>stockists</w:t>
      </w:r>
      <w:proofErr w:type="spellEnd"/>
      <w:r w:rsidR="00F8264D" w:rsidRPr="004621DC">
        <w:rPr>
          <w:rFonts w:ascii="Book Antiqua" w:hAnsi="Book Antiqua"/>
          <w:color w:val="000000"/>
          <w:szCs w:val="26"/>
        </w:rPr>
        <w:t xml:space="preserve"> rather than being supplied directly to the </w:t>
      </w:r>
      <w:r w:rsidR="00D1388A">
        <w:rPr>
          <w:rFonts w:ascii="Book Antiqua" w:hAnsi="Book Antiqua"/>
          <w:color w:val="000000"/>
          <w:szCs w:val="26"/>
        </w:rPr>
        <w:t>i</w:t>
      </w:r>
      <w:r w:rsidR="00F8264D" w:rsidRPr="004621DC">
        <w:rPr>
          <w:rFonts w:ascii="Book Antiqua" w:hAnsi="Book Antiqua"/>
          <w:color w:val="000000"/>
          <w:szCs w:val="26"/>
        </w:rPr>
        <w:t>nformant.</w:t>
      </w:r>
    </w:p>
    <w:p w:rsidR="00F8264D" w:rsidRPr="004621DC" w:rsidRDefault="00F8264D" w:rsidP="004621DC">
      <w:pPr>
        <w:pStyle w:val="body"/>
        <w:jc w:val="both"/>
        <w:rPr>
          <w:rFonts w:ascii="Book Antiqua" w:hAnsi="Book Antiqua"/>
          <w:color w:val="000000"/>
          <w:szCs w:val="26"/>
        </w:rPr>
      </w:pPr>
      <w:r w:rsidRPr="004621DC">
        <w:rPr>
          <w:rFonts w:ascii="Book Antiqua" w:hAnsi="Book Antiqua"/>
          <w:color w:val="000000"/>
          <w:szCs w:val="26"/>
        </w:rPr>
        <w:t xml:space="preserve">The </w:t>
      </w:r>
      <w:r w:rsidR="00D1388A">
        <w:rPr>
          <w:rFonts w:ascii="Book Antiqua" w:hAnsi="Book Antiqua"/>
          <w:color w:val="000000"/>
          <w:szCs w:val="26"/>
        </w:rPr>
        <w:t>i</w:t>
      </w:r>
      <w:r w:rsidRPr="004621DC">
        <w:rPr>
          <w:rFonts w:ascii="Book Antiqua" w:hAnsi="Book Antiqua"/>
          <w:color w:val="000000"/>
          <w:szCs w:val="26"/>
        </w:rPr>
        <w:t>nformant stated that the a</w:t>
      </w:r>
      <w:r w:rsidR="00B5265B">
        <w:rPr>
          <w:rFonts w:ascii="Book Antiqua" w:hAnsi="Book Antiqua"/>
          <w:color w:val="000000"/>
          <w:szCs w:val="26"/>
        </w:rPr>
        <w:t>cts mentioned above</w:t>
      </w:r>
      <w:r w:rsidRPr="004621DC">
        <w:rPr>
          <w:rFonts w:ascii="Book Antiqua" w:hAnsi="Book Antiqua"/>
          <w:color w:val="000000"/>
          <w:szCs w:val="26"/>
        </w:rPr>
        <w:t xml:space="preserve"> lead to high transportation costs, as the OPs do not supply goods at the </w:t>
      </w:r>
      <w:r w:rsidR="00D1388A">
        <w:rPr>
          <w:rFonts w:ascii="Book Antiqua" w:hAnsi="Book Antiqua"/>
          <w:color w:val="000000"/>
          <w:szCs w:val="26"/>
        </w:rPr>
        <w:t>i</w:t>
      </w:r>
      <w:r w:rsidRPr="004621DC">
        <w:rPr>
          <w:rFonts w:ascii="Book Antiqua" w:hAnsi="Book Antiqua"/>
          <w:color w:val="000000"/>
          <w:szCs w:val="26"/>
        </w:rPr>
        <w:t>nformant</w:t>
      </w:r>
      <w:r w:rsidR="008255A1">
        <w:rPr>
          <w:rFonts w:ascii="Book Antiqua" w:hAnsi="Book Antiqua"/>
          <w:color w:val="000000"/>
          <w:szCs w:val="26"/>
        </w:rPr>
        <w:t>’</w:t>
      </w:r>
      <w:r w:rsidRPr="004621DC">
        <w:rPr>
          <w:rFonts w:ascii="Book Antiqua" w:hAnsi="Book Antiqua"/>
          <w:color w:val="000000"/>
          <w:szCs w:val="26"/>
        </w:rPr>
        <w:t xml:space="preserve">s doorstep. Moreover, the </w:t>
      </w:r>
      <w:r w:rsidR="00D1388A">
        <w:rPr>
          <w:rFonts w:ascii="Book Antiqua" w:hAnsi="Book Antiqua"/>
          <w:color w:val="000000"/>
          <w:szCs w:val="26"/>
        </w:rPr>
        <w:t>i</w:t>
      </w:r>
      <w:r w:rsidRPr="004621DC">
        <w:rPr>
          <w:rFonts w:ascii="Book Antiqua" w:hAnsi="Book Antiqua"/>
          <w:color w:val="000000"/>
          <w:szCs w:val="26"/>
        </w:rPr>
        <w:t xml:space="preserve">nformant faced the loss of goods as they couldn’t be returned to the OPs. These conditions were allegedly not applicable to the </w:t>
      </w:r>
      <w:r w:rsidR="00D1388A">
        <w:rPr>
          <w:rFonts w:ascii="Book Antiqua" w:hAnsi="Book Antiqua"/>
          <w:color w:val="000000"/>
          <w:szCs w:val="26"/>
        </w:rPr>
        <w:t>i</w:t>
      </w:r>
      <w:r w:rsidRPr="004621DC">
        <w:rPr>
          <w:rFonts w:ascii="Book Antiqua" w:hAnsi="Book Antiqua"/>
          <w:color w:val="000000"/>
          <w:szCs w:val="26"/>
        </w:rPr>
        <w:t>nformant</w:t>
      </w:r>
      <w:r w:rsidR="008255A1">
        <w:rPr>
          <w:rFonts w:ascii="Book Antiqua" w:hAnsi="Book Antiqua"/>
          <w:color w:val="000000"/>
          <w:szCs w:val="26"/>
        </w:rPr>
        <w:t>’</w:t>
      </w:r>
      <w:r w:rsidRPr="004621DC">
        <w:rPr>
          <w:rFonts w:ascii="Book Antiqua" w:hAnsi="Book Antiqua"/>
          <w:color w:val="000000"/>
          <w:szCs w:val="26"/>
        </w:rPr>
        <w:t xml:space="preserve">s counterparts operating in the area and were thus, discriminatory. Further, the </w:t>
      </w:r>
      <w:r w:rsidR="00D1388A">
        <w:rPr>
          <w:rFonts w:ascii="Book Antiqua" w:hAnsi="Book Antiqua"/>
          <w:color w:val="000000"/>
          <w:szCs w:val="26"/>
        </w:rPr>
        <w:t>i</w:t>
      </w:r>
      <w:r w:rsidRPr="004621DC">
        <w:rPr>
          <w:rFonts w:ascii="Book Antiqua" w:hAnsi="Book Antiqua"/>
          <w:color w:val="000000"/>
          <w:szCs w:val="26"/>
        </w:rPr>
        <w:t>nformant claimed that it was unable to expand its market and ha</w:t>
      </w:r>
      <w:r w:rsidR="00202660">
        <w:rPr>
          <w:rFonts w:ascii="Book Antiqua" w:hAnsi="Book Antiqua"/>
          <w:color w:val="000000"/>
          <w:szCs w:val="26"/>
        </w:rPr>
        <w:t>d</w:t>
      </w:r>
      <w:r w:rsidRPr="004621DC">
        <w:rPr>
          <w:rFonts w:ascii="Book Antiqua" w:hAnsi="Book Antiqua"/>
          <w:color w:val="000000"/>
          <w:szCs w:val="26"/>
        </w:rPr>
        <w:t xml:space="preserve"> to bear higher costs compared to other </w:t>
      </w:r>
      <w:proofErr w:type="spellStart"/>
      <w:r w:rsidRPr="004621DC">
        <w:rPr>
          <w:rFonts w:ascii="Book Antiqua" w:hAnsi="Book Antiqua"/>
          <w:color w:val="000000"/>
          <w:szCs w:val="26"/>
        </w:rPr>
        <w:t>stockists</w:t>
      </w:r>
      <w:proofErr w:type="spellEnd"/>
      <w:r w:rsidRPr="004621DC">
        <w:rPr>
          <w:rFonts w:ascii="Book Antiqua" w:hAnsi="Book Antiqua"/>
          <w:color w:val="000000"/>
          <w:szCs w:val="26"/>
        </w:rPr>
        <w:t>.</w:t>
      </w:r>
    </w:p>
    <w:p w:rsidR="00F8264D" w:rsidRPr="004621DC" w:rsidRDefault="00F8264D" w:rsidP="004621DC">
      <w:pPr>
        <w:pStyle w:val="body"/>
        <w:jc w:val="both"/>
        <w:rPr>
          <w:rFonts w:ascii="Book Antiqua" w:hAnsi="Book Antiqua"/>
          <w:color w:val="000000"/>
          <w:szCs w:val="26"/>
        </w:rPr>
      </w:pPr>
      <w:r w:rsidRPr="004621DC">
        <w:rPr>
          <w:rFonts w:ascii="Book Antiqua" w:hAnsi="Book Antiqua"/>
          <w:color w:val="000000"/>
          <w:szCs w:val="26"/>
        </w:rPr>
        <w:t xml:space="preserve">The </w:t>
      </w:r>
      <w:r w:rsidR="00D1388A">
        <w:rPr>
          <w:rFonts w:ascii="Book Antiqua" w:hAnsi="Book Antiqua"/>
          <w:color w:val="000000"/>
          <w:szCs w:val="26"/>
        </w:rPr>
        <w:t>i</w:t>
      </w:r>
      <w:r w:rsidRPr="004621DC">
        <w:rPr>
          <w:rFonts w:ascii="Book Antiqua" w:hAnsi="Book Antiqua"/>
          <w:color w:val="000000"/>
          <w:szCs w:val="26"/>
        </w:rPr>
        <w:t xml:space="preserve">nformant took up the matter with the OPs, but the OPs were insistent that the alleged terms and conditions be fulfilled by </w:t>
      </w:r>
      <w:r w:rsidR="000904DD">
        <w:rPr>
          <w:rFonts w:ascii="Book Antiqua" w:hAnsi="Book Antiqua"/>
          <w:color w:val="000000"/>
          <w:szCs w:val="26"/>
        </w:rPr>
        <w:t>him</w:t>
      </w:r>
      <w:r w:rsidRPr="004621DC">
        <w:rPr>
          <w:rFonts w:ascii="Book Antiqua" w:hAnsi="Book Antiqua"/>
          <w:color w:val="000000"/>
          <w:szCs w:val="26"/>
        </w:rPr>
        <w:t xml:space="preserve">. Moreover, </w:t>
      </w:r>
      <w:r w:rsidR="0050042D">
        <w:rPr>
          <w:rFonts w:ascii="Book Antiqua" w:hAnsi="Book Antiqua"/>
          <w:color w:val="000000"/>
          <w:szCs w:val="26"/>
        </w:rPr>
        <w:t>none of the OPs provided the alleged terms and conditions to the informant in writing despite being asked</w:t>
      </w:r>
      <w:r w:rsidRPr="004621DC">
        <w:rPr>
          <w:rFonts w:ascii="Book Antiqua" w:hAnsi="Book Antiqua"/>
          <w:color w:val="000000"/>
          <w:szCs w:val="26"/>
        </w:rPr>
        <w:t xml:space="preserve">. This, as per the </w:t>
      </w:r>
      <w:r w:rsidR="00D1388A">
        <w:rPr>
          <w:rFonts w:ascii="Book Antiqua" w:hAnsi="Book Antiqua"/>
          <w:color w:val="000000"/>
          <w:szCs w:val="26"/>
        </w:rPr>
        <w:t>i</w:t>
      </w:r>
      <w:r w:rsidRPr="004621DC">
        <w:rPr>
          <w:rFonts w:ascii="Book Antiqua" w:hAnsi="Book Antiqua"/>
          <w:color w:val="000000"/>
          <w:szCs w:val="26"/>
        </w:rPr>
        <w:t>nformant, seems like a tactic of the OPs to not let parties enter the pharmaceutical field without following pharmaceutical companies</w:t>
      </w:r>
      <w:r w:rsidR="008255A1">
        <w:rPr>
          <w:rFonts w:ascii="Book Antiqua" w:hAnsi="Book Antiqua"/>
          <w:color w:val="000000"/>
          <w:szCs w:val="26"/>
        </w:rPr>
        <w:t>’</w:t>
      </w:r>
      <w:r w:rsidRPr="004621DC">
        <w:rPr>
          <w:rFonts w:ascii="Book Antiqua" w:hAnsi="Book Antiqua"/>
          <w:color w:val="000000"/>
          <w:szCs w:val="26"/>
        </w:rPr>
        <w:t xml:space="preserve"> requirements.</w:t>
      </w:r>
    </w:p>
    <w:p w:rsidR="00F8264D" w:rsidRPr="004621DC" w:rsidRDefault="00F8264D" w:rsidP="004621DC">
      <w:pPr>
        <w:pStyle w:val="body"/>
        <w:jc w:val="both"/>
        <w:rPr>
          <w:rFonts w:ascii="Book Antiqua" w:hAnsi="Book Antiqua"/>
          <w:color w:val="000000"/>
          <w:szCs w:val="26"/>
        </w:rPr>
      </w:pPr>
      <w:r w:rsidRPr="004621DC">
        <w:rPr>
          <w:rFonts w:ascii="Book Antiqua" w:hAnsi="Book Antiqua"/>
          <w:color w:val="000000"/>
          <w:szCs w:val="26"/>
        </w:rPr>
        <w:t>The CCI dismissed the complaint filed by the pharma wholesaler. The CCI held that differential terms offered by 17 pharma companies arrayed as Opposite Parties to different wholesalers would not amount to anti-competitive agreements under section 3 of the Competition Act, 2002.</w:t>
      </w:r>
    </w:p>
    <w:p w:rsidR="00F8264D" w:rsidRPr="004621DC" w:rsidRDefault="00F8264D" w:rsidP="004621DC">
      <w:pPr>
        <w:pStyle w:val="body"/>
        <w:jc w:val="both"/>
        <w:rPr>
          <w:rFonts w:ascii="Book Antiqua" w:hAnsi="Book Antiqua"/>
          <w:color w:val="000000"/>
          <w:szCs w:val="26"/>
        </w:rPr>
      </w:pPr>
      <w:r w:rsidRPr="004621DC">
        <w:rPr>
          <w:rFonts w:ascii="Book Antiqua" w:hAnsi="Book Antiqua"/>
          <w:color w:val="000000"/>
          <w:szCs w:val="26"/>
        </w:rPr>
        <w:t xml:space="preserve">It was held that there were no specific allegations regarding anti-competitive agreement under section 3(3) of the Act amongst OPs nor any evidence adduced of any </w:t>
      </w:r>
      <w:proofErr w:type="spellStart"/>
      <w:r w:rsidRPr="004621DC">
        <w:rPr>
          <w:rFonts w:ascii="Book Antiqua" w:hAnsi="Book Antiqua"/>
          <w:color w:val="000000"/>
          <w:szCs w:val="26"/>
        </w:rPr>
        <w:t>co-ordinated</w:t>
      </w:r>
      <w:proofErr w:type="spellEnd"/>
      <w:r w:rsidRPr="004621DC">
        <w:rPr>
          <w:rFonts w:ascii="Book Antiqua" w:hAnsi="Book Antiqua"/>
          <w:color w:val="000000"/>
          <w:szCs w:val="26"/>
        </w:rPr>
        <w:t xml:space="preserve"> conduct that </w:t>
      </w:r>
      <w:r w:rsidR="005D1C03">
        <w:rPr>
          <w:rFonts w:ascii="Book Antiqua" w:hAnsi="Book Antiqua"/>
          <w:color w:val="000000"/>
          <w:szCs w:val="26"/>
        </w:rPr>
        <w:t>is</w:t>
      </w:r>
      <w:r w:rsidRPr="004621DC">
        <w:rPr>
          <w:rFonts w:ascii="Book Antiqua" w:hAnsi="Book Antiqua"/>
          <w:color w:val="000000"/>
          <w:szCs w:val="26"/>
        </w:rPr>
        <w:t xml:space="preserve"> likely to cause an appreciable adverse effect on competition in the market</w:t>
      </w:r>
      <w:r w:rsidR="005D1C03">
        <w:rPr>
          <w:rFonts w:ascii="Book Antiqua" w:hAnsi="Book Antiqua"/>
          <w:color w:val="000000"/>
          <w:szCs w:val="26"/>
        </w:rPr>
        <w:t xml:space="preserve">. </w:t>
      </w:r>
      <w:r w:rsidR="00A53DFE">
        <w:rPr>
          <w:rFonts w:ascii="Book Antiqua" w:hAnsi="Book Antiqua"/>
          <w:color w:val="000000"/>
          <w:szCs w:val="26"/>
        </w:rPr>
        <w:t>N</w:t>
      </w:r>
      <w:r w:rsidR="005D1C03">
        <w:rPr>
          <w:rFonts w:ascii="Book Antiqua" w:hAnsi="Book Antiqua"/>
          <w:color w:val="000000"/>
          <w:szCs w:val="26"/>
        </w:rPr>
        <w:t>o</w:t>
      </w:r>
      <w:r w:rsidRPr="004621DC">
        <w:rPr>
          <w:rFonts w:ascii="Book Antiqua" w:hAnsi="Book Antiqua"/>
          <w:color w:val="000000"/>
          <w:szCs w:val="26"/>
        </w:rPr>
        <w:t xml:space="preserve"> prima facie case made out even under section 3(4) of the Act by demonstrating the existence of any market power in the hands of any of the OPs in the matter which has been enforced to cause any vertical restraints.</w:t>
      </w:r>
    </w:p>
    <w:p w:rsidR="00F8264D" w:rsidRPr="004621DC" w:rsidRDefault="00F8264D" w:rsidP="004621DC">
      <w:pPr>
        <w:pStyle w:val="body"/>
        <w:jc w:val="both"/>
        <w:rPr>
          <w:rFonts w:ascii="Book Antiqua" w:hAnsi="Book Antiqua"/>
          <w:i/>
          <w:color w:val="000000"/>
          <w:szCs w:val="26"/>
        </w:rPr>
      </w:pPr>
      <w:r w:rsidRPr="004621DC">
        <w:rPr>
          <w:rFonts w:ascii="Book Antiqua" w:hAnsi="Book Antiqua"/>
          <w:i/>
          <w:color w:val="000000"/>
          <w:szCs w:val="26"/>
        </w:rPr>
        <w:t xml:space="preserve">Further, in relation to an alleged contravention of the provisions of Section 4 of the Act regarding abuse of dominance, the </w:t>
      </w:r>
      <w:r w:rsidR="00D1388A">
        <w:rPr>
          <w:rFonts w:ascii="Book Antiqua" w:hAnsi="Book Antiqua"/>
          <w:i/>
          <w:color w:val="000000"/>
          <w:szCs w:val="26"/>
        </w:rPr>
        <w:t>i</w:t>
      </w:r>
      <w:r w:rsidRPr="004621DC">
        <w:rPr>
          <w:rFonts w:ascii="Book Antiqua" w:hAnsi="Book Antiqua"/>
          <w:i/>
          <w:color w:val="000000"/>
          <w:szCs w:val="26"/>
        </w:rPr>
        <w:t>nformant claimed that all the OPs are refusing to deal with it, without naming any specific OP. In this respect, with 17 pharmaceutical companies being arrayed as parties, a case under section 4 of the Act cannot arise</w:t>
      </w:r>
      <w:r w:rsidR="006709EA">
        <w:rPr>
          <w:rFonts w:ascii="Book Antiqua" w:hAnsi="Book Antiqua"/>
          <w:i/>
          <w:color w:val="000000"/>
          <w:szCs w:val="26"/>
        </w:rPr>
        <w:t>,</w:t>
      </w:r>
      <w:r w:rsidRPr="004621DC">
        <w:rPr>
          <w:rFonts w:ascii="Book Antiqua" w:hAnsi="Book Antiqua"/>
          <w:i/>
          <w:color w:val="000000"/>
          <w:szCs w:val="26"/>
        </w:rPr>
        <w:t xml:space="preserve"> and it cannot be said that there is the dominance of any one OP. </w:t>
      </w:r>
      <w:r w:rsidRPr="004621DC">
        <w:rPr>
          <w:rFonts w:ascii="Book Antiqua" w:hAnsi="Book Antiqua"/>
          <w:color w:val="000000"/>
          <w:szCs w:val="26"/>
        </w:rPr>
        <w:t>said CCI</w:t>
      </w:r>
    </w:p>
    <w:p w:rsidR="00F8264D" w:rsidRPr="004621DC" w:rsidRDefault="006709EA" w:rsidP="004621DC">
      <w:pPr>
        <w:pStyle w:val="body"/>
        <w:jc w:val="both"/>
        <w:rPr>
          <w:rFonts w:ascii="Book Antiqua" w:hAnsi="Book Antiqua"/>
          <w:color w:val="000000"/>
          <w:szCs w:val="26"/>
        </w:rPr>
      </w:pPr>
      <w:r>
        <w:rPr>
          <w:rFonts w:ascii="Book Antiqua" w:hAnsi="Book Antiqua"/>
          <w:color w:val="000000"/>
          <w:szCs w:val="26"/>
        </w:rPr>
        <w:lastRenderedPageBreak/>
        <w:t>T</w:t>
      </w:r>
      <w:r w:rsidR="00F8264D" w:rsidRPr="004621DC">
        <w:rPr>
          <w:rFonts w:ascii="Book Antiqua" w:hAnsi="Book Antiqua"/>
          <w:color w:val="000000"/>
          <w:szCs w:val="26"/>
        </w:rPr>
        <w:t xml:space="preserve">herefore, no prima facie case of contravention of any of the provisions of Section 3 and/or </w:t>
      </w:r>
      <w:r w:rsidR="00C8079F">
        <w:rPr>
          <w:rFonts w:ascii="Book Antiqua" w:hAnsi="Book Antiqua"/>
          <w:color w:val="000000"/>
          <w:szCs w:val="26"/>
        </w:rPr>
        <w:t xml:space="preserve">Section </w:t>
      </w:r>
      <w:r w:rsidR="00F8264D" w:rsidRPr="004621DC">
        <w:rPr>
          <w:rFonts w:ascii="Book Antiqua" w:hAnsi="Book Antiqua"/>
          <w:color w:val="000000"/>
          <w:szCs w:val="26"/>
        </w:rPr>
        <w:t>4 of the Act could be made out against the OPs and directed that matter to be closed under Section 26(2) of the Act.</w:t>
      </w:r>
    </w:p>
    <w:p w:rsidR="00F8264D" w:rsidRPr="00AC14CF" w:rsidRDefault="00E8140F" w:rsidP="00AC14CF">
      <w:pPr>
        <w:pStyle w:val="body"/>
        <w:jc w:val="both"/>
        <w:rPr>
          <w:rStyle w:val="Hyperlink"/>
          <w:rFonts w:ascii="Book Antiqua" w:hAnsi="Book Antiqua"/>
          <w:i/>
          <w:color w:val="000000"/>
          <w:szCs w:val="26"/>
          <w:u w:val="none"/>
        </w:rPr>
      </w:pPr>
      <w:hyperlink r:id="rId8" w:history="1">
        <w:r w:rsidR="00F8264D" w:rsidRPr="004621DC">
          <w:rPr>
            <w:rStyle w:val="Hyperlink"/>
            <w:rFonts w:ascii="Book Antiqua" w:hAnsi="Book Antiqua"/>
            <w:i/>
            <w:szCs w:val="26"/>
          </w:rPr>
          <w:t>Read the Ruling</w:t>
        </w:r>
      </w:hyperlink>
    </w:p>
    <w:p w:rsidR="006E4CDA" w:rsidRPr="004621DC" w:rsidRDefault="006E4CDA" w:rsidP="000D2BF8">
      <w:pPr>
        <w:pStyle w:val="ListParagraph"/>
        <w:numPr>
          <w:ilvl w:val="0"/>
          <w:numId w:val="39"/>
        </w:numPr>
        <w:jc w:val="both"/>
        <w:rPr>
          <w:rFonts w:ascii="Book Antiqua" w:hAnsi="Book Antiqua"/>
          <w:b/>
          <w:sz w:val="24"/>
        </w:rPr>
      </w:pPr>
      <w:r w:rsidRPr="004621DC">
        <w:rPr>
          <w:rFonts w:ascii="Book Antiqua" w:hAnsi="Book Antiqua"/>
          <w:b/>
          <w:sz w:val="24"/>
        </w:rPr>
        <w:t>Refund can</w:t>
      </w:r>
      <w:r w:rsidR="008255A1">
        <w:rPr>
          <w:rFonts w:ascii="Book Antiqua" w:hAnsi="Book Antiqua"/>
          <w:b/>
          <w:sz w:val="24"/>
        </w:rPr>
        <w:t>’</w:t>
      </w:r>
      <w:r w:rsidRPr="004621DC">
        <w:rPr>
          <w:rFonts w:ascii="Book Antiqua" w:hAnsi="Book Antiqua"/>
          <w:b/>
          <w:sz w:val="24"/>
        </w:rPr>
        <w:t xml:space="preserve">t be denied even if </w:t>
      </w:r>
      <w:r w:rsidR="00AC14CF">
        <w:rPr>
          <w:rFonts w:ascii="Book Antiqua" w:hAnsi="Book Antiqua"/>
          <w:b/>
          <w:sz w:val="24"/>
        </w:rPr>
        <w:t xml:space="preserve">the </w:t>
      </w:r>
      <w:r w:rsidRPr="004621DC">
        <w:rPr>
          <w:rFonts w:ascii="Book Antiqua" w:hAnsi="Book Antiqua"/>
          <w:b/>
          <w:sz w:val="24"/>
        </w:rPr>
        <w:t>investigation is pending against the assessee: Bombay HC</w:t>
      </w:r>
    </w:p>
    <w:p w:rsidR="006E4CDA" w:rsidRPr="004621DC" w:rsidRDefault="006E4CDA" w:rsidP="004621DC">
      <w:pPr>
        <w:jc w:val="both"/>
        <w:rPr>
          <w:rFonts w:ascii="Book Antiqua" w:hAnsi="Book Antiqua"/>
          <w:sz w:val="24"/>
        </w:rPr>
      </w:pPr>
      <w:r w:rsidRPr="004621DC">
        <w:rPr>
          <w:rFonts w:ascii="Book Antiqua" w:hAnsi="Book Antiqua"/>
          <w:sz w:val="24"/>
        </w:rPr>
        <w:t xml:space="preserve">The High Court of Bombay has recently held that </w:t>
      </w:r>
      <w:r w:rsidR="00AC14CF">
        <w:rPr>
          <w:rFonts w:ascii="Book Antiqua" w:hAnsi="Book Antiqua"/>
          <w:sz w:val="24"/>
        </w:rPr>
        <w:t xml:space="preserve">the </w:t>
      </w:r>
      <w:r w:rsidRPr="004621DC">
        <w:rPr>
          <w:rFonts w:ascii="Book Antiqua" w:hAnsi="Book Antiqua"/>
          <w:sz w:val="24"/>
        </w:rPr>
        <w:t xml:space="preserve">refund would not be denied merely </w:t>
      </w:r>
      <w:r w:rsidR="00AC14CF">
        <w:rPr>
          <w:rFonts w:ascii="Book Antiqua" w:hAnsi="Book Antiqua"/>
          <w:sz w:val="24"/>
        </w:rPr>
        <w:t>because</w:t>
      </w:r>
      <w:r w:rsidRPr="004621DC">
        <w:rPr>
          <w:rFonts w:ascii="Book Antiqua" w:hAnsi="Book Antiqua"/>
          <w:sz w:val="24"/>
        </w:rPr>
        <w:t xml:space="preserve"> </w:t>
      </w:r>
      <w:r w:rsidR="00AC14CF">
        <w:rPr>
          <w:rFonts w:ascii="Book Antiqua" w:hAnsi="Book Antiqua"/>
          <w:sz w:val="24"/>
        </w:rPr>
        <w:t xml:space="preserve">an </w:t>
      </w:r>
      <w:r w:rsidRPr="004621DC">
        <w:rPr>
          <w:rFonts w:ascii="Book Antiqua" w:hAnsi="Book Antiqua"/>
          <w:sz w:val="24"/>
        </w:rPr>
        <w:t xml:space="preserve">investigation is pending against the assessee. The Court directed the department to process the application made by </w:t>
      </w:r>
      <w:r w:rsidR="00DA2E5A">
        <w:rPr>
          <w:rFonts w:ascii="Book Antiqua" w:hAnsi="Book Antiqua"/>
          <w:sz w:val="24"/>
        </w:rPr>
        <w:t xml:space="preserve">the </w:t>
      </w:r>
      <w:r w:rsidRPr="004621DC">
        <w:rPr>
          <w:rFonts w:ascii="Book Antiqua" w:hAnsi="Book Antiqua"/>
          <w:sz w:val="24"/>
        </w:rPr>
        <w:t>petitioner for refund and pass reasoned order upon hearing the petitioner. Th</w:t>
      </w:r>
      <w:r w:rsidR="00B777B9">
        <w:rPr>
          <w:rFonts w:ascii="Book Antiqua" w:hAnsi="Book Antiqua"/>
          <w:sz w:val="24"/>
        </w:rPr>
        <w:t xml:space="preserve">e </w:t>
      </w:r>
      <w:proofErr w:type="spellStart"/>
      <w:r w:rsidR="00B777B9">
        <w:rPr>
          <w:rFonts w:ascii="Book Antiqua" w:hAnsi="Book Antiqua"/>
          <w:sz w:val="24"/>
        </w:rPr>
        <w:t>Honorable</w:t>
      </w:r>
      <w:proofErr w:type="spellEnd"/>
      <w:r w:rsidR="00B777B9">
        <w:rPr>
          <w:rFonts w:ascii="Book Antiqua" w:hAnsi="Book Antiqua"/>
          <w:sz w:val="24"/>
        </w:rPr>
        <w:t xml:space="preserve"> Bombay High Court gives this ruling</w:t>
      </w:r>
      <w:r w:rsidRPr="004621DC">
        <w:rPr>
          <w:rFonts w:ascii="Book Antiqua" w:hAnsi="Book Antiqua"/>
          <w:sz w:val="24"/>
        </w:rPr>
        <w:t xml:space="preserve"> in </w:t>
      </w:r>
      <w:r w:rsidR="00DA2E5A">
        <w:rPr>
          <w:rFonts w:ascii="Book Antiqua" w:hAnsi="Book Antiqua"/>
          <w:sz w:val="24"/>
        </w:rPr>
        <w:t xml:space="preserve">the </w:t>
      </w:r>
      <w:r w:rsidRPr="004621DC">
        <w:rPr>
          <w:rFonts w:ascii="Book Antiqua" w:hAnsi="Book Antiqua"/>
          <w:sz w:val="24"/>
        </w:rPr>
        <w:t xml:space="preserve">case of </w:t>
      </w:r>
      <w:proofErr w:type="spellStart"/>
      <w:r w:rsidRPr="00DA2E5A">
        <w:rPr>
          <w:rFonts w:ascii="Book Antiqua" w:hAnsi="Book Antiqua"/>
          <w:i/>
          <w:sz w:val="24"/>
        </w:rPr>
        <w:t>Evertime</w:t>
      </w:r>
      <w:proofErr w:type="spellEnd"/>
      <w:r w:rsidRPr="00DA2E5A">
        <w:rPr>
          <w:rFonts w:ascii="Book Antiqua" w:hAnsi="Book Antiqua"/>
          <w:i/>
          <w:sz w:val="24"/>
        </w:rPr>
        <w:t xml:space="preserve"> Overseas (P.) Ltd. v. Union of India</w:t>
      </w:r>
      <w:r w:rsidRPr="004621DC">
        <w:rPr>
          <w:rFonts w:ascii="Book Antiqua" w:hAnsi="Book Antiqua"/>
          <w:sz w:val="24"/>
        </w:rPr>
        <w:t>.</w:t>
      </w:r>
    </w:p>
    <w:p w:rsidR="006E4CDA" w:rsidRPr="00B777B9" w:rsidRDefault="006E4CDA" w:rsidP="004621DC">
      <w:pPr>
        <w:jc w:val="both"/>
        <w:rPr>
          <w:rFonts w:ascii="Book Antiqua" w:hAnsi="Book Antiqua"/>
          <w:i/>
          <w:sz w:val="24"/>
        </w:rPr>
      </w:pPr>
      <w:r w:rsidRPr="00B777B9">
        <w:rPr>
          <w:rFonts w:ascii="Book Antiqua" w:hAnsi="Book Antiqua"/>
          <w:i/>
          <w:sz w:val="24"/>
        </w:rPr>
        <w:t>Facts</w:t>
      </w:r>
    </w:p>
    <w:p w:rsidR="006E4CDA" w:rsidRPr="004621DC" w:rsidRDefault="006E4CDA" w:rsidP="004621DC">
      <w:pPr>
        <w:jc w:val="both"/>
        <w:rPr>
          <w:rFonts w:ascii="Book Antiqua" w:hAnsi="Book Antiqua"/>
          <w:sz w:val="24"/>
        </w:rPr>
      </w:pPr>
      <w:r w:rsidRPr="004621DC">
        <w:rPr>
          <w:rFonts w:ascii="Book Antiqua" w:hAnsi="Book Antiqua"/>
          <w:sz w:val="24"/>
        </w:rPr>
        <w:t xml:space="preserve">The petitioner filed </w:t>
      </w:r>
      <w:r w:rsidR="00B777B9">
        <w:rPr>
          <w:rFonts w:ascii="Book Antiqua" w:hAnsi="Book Antiqua"/>
          <w:sz w:val="24"/>
        </w:rPr>
        <w:t xml:space="preserve">a </w:t>
      </w:r>
      <w:r w:rsidRPr="004621DC">
        <w:rPr>
          <w:rFonts w:ascii="Book Antiqua" w:hAnsi="Book Antiqua"/>
          <w:sz w:val="24"/>
        </w:rPr>
        <w:t>refund application</w:t>
      </w:r>
      <w:r w:rsidR="00B777B9">
        <w:rPr>
          <w:rFonts w:ascii="Book Antiqua" w:hAnsi="Book Antiqua"/>
          <w:sz w:val="24"/>
        </w:rPr>
        <w:t>,</w:t>
      </w:r>
      <w:r w:rsidRPr="004621DC">
        <w:rPr>
          <w:rFonts w:ascii="Book Antiqua" w:hAnsi="Book Antiqua"/>
          <w:sz w:val="24"/>
        </w:rPr>
        <w:t xml:space="preserve"> but the application was rejected. The department submitted that claim for refund would not be processed on the ground that the investigation was pending against the petitioner. The petitioner filed </w:t>
      </w:r>
      <w:r w:rsidR="00B777B9">
        <w:rPr>
          <w:rFonts w:ascii="Book Antiqua" w:hAnsi="Book Antiqua"/>
          <w:sz w:val="24"/>
        </w:rPr>
        <w:t xml:space="preserve">a </w:t>
      </w:r>
      <w:r w:rsidRPr="004621DC">
        <w:rPr>
          <w:rFonts w:ascii="Book Antiqua" w:hAnsi="Book Antiqua"/>
          <w:sz w:val="24"/>
        </w:rPr>
        <w:t xml:space="preserve">writ petition and claimed that he was entitled to </w:t>
      </w:r>
      <w:r w:rsidR="00B777B9">
        <w:rPr>
          <w:rFonts w:ascii="Book Antiqua" w:hAnsi="Book Antiqua"/>
          <w:sz w:val="24"/>
        </w:rPr>
        <w:t xml:space="preserve">a </w:t>
      </w:r>
      <w:r w:rsidRPr="004621DC">
        <w:rPr>
          <w:rFonts w:ascii="Book Antiqua" w:hAnsi="Book Antiqua"/>
          <w:sz w:val="24"/>
        </w:rPr>
        <w:t xml:space="preserve">refund under the provisions of </w:t>
      </w:r>
      <w:r w:rsidR="00A83555">
        <w:rPr>
          <w:rFonts w:ascii="Book Antiqua" w:hAnsi="Book Antiqua"/>
          <w:sz w:val="24"/>
        </w:rPr>
        <w:t>S</w:t>
      </w:r>
      <w:r w:rsidRPr="004621DC">
        <w:rPr>
          <w:rFonts w:ascii="Book Antiqua" w:hAnsi="Book Antiqua"/>
          <w:sz w:val="24"/>
        </w:rPr>
        <w:t>ection 16 of the IGST Act.</w:t>
      </w:r>
    </w:p>
    <w:p w:rsidR="006E4CDA" w:rsidRPr="00A83555" w:rsidRDefault="006E4CDA" w:rsidP="004621DC">
      <w:pPr>
        <w:jc w:val="both"/>
        <w:rPr>
          <w:rFonts w:ascii="Book Antiqua" w:hAnsi="Book Antiqua"/>
          <w:i/>
          <w:sz w:val="24"/>
        </w:rPr>
      </w:pPr>
      <w:r w:rsidRPr="00A83555">
        <w:rPr>
          <w:rFonts w:ascii="Book Antiqua" w:hAnsi="Book Antiqua"/>
          <w:i/>
          <w:sz w:val="24"/>
        </w:rPr>
        <w:t>High Court</w:t>
      </w:r>
    </w:p>
    <w:p w:rsidR="006E4CDA" w:rsidRPr="004621DC" w:rsidRDefault="006E4CDA" w:rsidP="004621DC">
      <w:pPr>
        <w:jc w:val="both"/>
        <w:rPr>
          <w:rFonts w:ascii="Book Antiqua" w:hAnsi="Book Antiqua"/>
          <w:sz w:val="24"/>
        </w:rPr>
      </w:pPr>
      <w:r w:rsidRPr="004621DC">
        <w:rPr>
          <w:rFonts w:ascii="Book Antiqua" w:hAnsi="Book Antiqua"/>
          <w:sz w:val="24"/>
        </w:rPr>
        <w:t xml:space="preserve">The </w:t>
      </w:r>
      <w:proofErr w:type="spellStart"/>
      <w:r w:rsidRPr="004621DC">
        <w:rPr>
          <w:rFonts w:ascii="Book Antiqua" w:hAnsi="Book Antiqua"/>
          <w:sz w:val="24"/>
        </w:rPr>
        <w:t>Honorable</w:t>
      </w:r>
      <w:proofErr w:type="spellEnd"/>
      <w:r w:rsidRPr="004621DC">
        <w:rPr>
          <w:rFonts w:ascii="Book Antiqua" w:hAnsi="Book Antiqua"/>
          <w:sz w:val="24"/>
        </w:rPr>
        <w:t xml:space="preserve"> High Court observed that as per </w:t>
      </w:r>
      <w:r w:rsidR="00A83555">
        <w:rPr>
          <w:rFonts w:ascii="Book Antiqua" w:hAnsi="Book Antiqua"/>
          <w:sz w:val="24"/>
        </w:rPr>
        <w:t>S</w:t>
      </w:r>
      <w:r w:rsidRPr="004621DC">
        <w:rPr>
          <w:rFonts w:ascii="Book Antiqua" w:hAnsi="Book Antiqua"/>
          <w:sz w:val="24"/>
        </w:rPr>
        <w:t>ection 54</w:t>
      </w:r>
      <w:r w:rsidR="00A83555">
        <w:rPr>
          <w:rFonts w:ascii="Book Antiqua" w:hAnsi="Book Antiqua"/>
          <w:sz w:val="24"/>
        </w:rPr>
        <w:t>(10)</w:t>
      </w:r>
      <w:r w:rsidRPr="004621DC">
        <w:rPr>
          <w:rFonts w:ascii="Book Antiqua" w:hAnsi="Book Antiqua"/>
          <w:sz w:val="24"/>
        </w:rPr>
        <w:t xml:space="preserve"> of the CGST Act, the proper officer c</w:t>
      </w:r>
      <w:r w:rsidR="007C53A2">
        <w:rPr>
          <w:rFonts w:ascii="Book Antiqua" w:hAnsi="Book Antiqua"/>
          <w:sz w:val="24"/>
        </w:rPr>
        <w:t>ould</w:t>
      </w:r>
      <w:r w:rsidRPr="004621DC">
        <w:rPr>
          <w:rFonts w:ascii="Book Antiqua" w:hAnsi="Book Antiqua"/>
          <w:sz w:val="24"/>
        </w:rPr>
        <w:t xml:space="preserve"> withhold payment of refund if </w:t>
      </w:r>
      <w:r w:rsidR="007C53A2">
        <w:rPr>
          <w:rFonts w:ascii="Book Antiqua" w:hAnsi="Book Antiqua"/>
          <w:sz w:val="24"/>
        </w:rPr>
        <w:t xml:space="preserve">the </w:t>
      </w:r>
      <w:r w:rsidRPr="004621DC">
        <w:rPr>
          <w:rFonts w:ascii="Book Antiqua" w:hAnsi="Book Antiqua"/>
          <w:sz w:val="24"/>
        </w:rPr>
        <w:t xml:space="preserve">registered person has defaulted in furnishing any return or </w:t>
      </w:r>
      <w:r w:rsidR="007C53A2">
        <w:rPr>
          <w:rFonts w:ascii="Book Antiqua" w:hAnsi="Book Antiqua"/>
          <w:sz w:val="24"/>
        </w:rPr>
        <w:t xml:space="preserve">is </w:t>
      </w:r>
      <w:r w:rsidRPr="004621DC">
        <w:rPr>
          <w:rFonts w:ascii="Book Antiqua" w:hAnsi="Book Antiqua"/>
          <w:sz w:val="24"/>
        </w:rPr>
        <w:t>required to pay any tax, interest</w:t>
      </w:r>
      <w:r w:rsidR="007C53A2">
        <w:rPr>
          <w:rFonts w:ascii="Book Antiqua" w:hAnsi="Book Antiqua"/>
          <w:sz w:val="24"/>
        </w:rPr>
        <w:t>,</w:t>
      </w:r>
      <w:r w:rsidRPr="004621DC">
        <w:rPr>
          <w:rFonts w:ascii="Book Antiqua" w:hAnsi="Book Antiqua"/>
          <w:sz w:val="24"/>
        </w:rPr>
        <w:t xml:space="preserve"> or penalty. However, </w:t>
      </w:r>
      <w:r w:rsidR="007C53A2">
        <w:rPr>
          <w:rFonts w:ascii="Book Antiqua" w:hAnsi="Book Antiqua"/>
          <w:sz w:val="24"/>
        </w:rPr>
        <w:t xml:space="preserve">the </w:t>
      </w:r>
      <w:r w:rsidRPr="004621DC">
        <w:rPr>
          <w:rFonts w:ascii="Book Antiqua" w:hAnsi="Book Antiqua"/>
          <w:sz w:val="24"/>
        </w:rPr>
        <w:t>application to process the refund would not be rejected or kept on hold on the ground that the investigation was pending. Thus, in the present case, the department was directed to process the application made by the petitioner for refund and pass a reasoned order upon hearing the petitioner.</w:t>
      </w:r>
    </w:p>
    <w:p w:rsidR="006E4CDA" w:rsidRPr="007C53A2" w:rsidRDefault="00E8140F" w:rsidP="004621DC">
      <w:pPr>
        <w:jc w:val="both"/>
        <w:rPr>
          <w:rFonts w:ascii="Book Antiqua" w:hAnsi="Book Antiqua"/>
          <w:i/>
          <w:sz w:val="24"/>
        </w:rPr>
      </w:pPr>
      <w:hyperlink r:id="rId9" w:history="1">
        <w:r w:rsidR="006E4CDA" w:rsidRPr="004621DC">
          <w:rPr>
            <w:rStyle w:val="Hyperlink"/>
            <w:rFonts w:ascii="Book Antiqua" w:hAnsi="Book Antiqua"/>
            <w:i/>
            <w:sz w:val="24"/>
          </w:rPr>
          <w:t>Read the Ruling</w:t>
        </w:r>
      </w:hyperlink>
    </w:p>
    <w:p w:rsidR="006E4CDA" w:rsidRPr="004621DC" w:rsidRDefault="006E4CDA" w:rsidP="000D2BF8">
      <w:pPr>
        <w:pStyle w:val="ListParagraph"/>
        <w:numPr>
          <w:ilvl w:val="0"/>
          <w:numId w:val="39"/>
        </w:numPr>
        <w:jc w:val="both"/>
        <w:rPr>
          <w:rFonts w:ascii="Book Antiqua" w:hAnsi="Book Antiqua"/>
          <w:b/>
          <w:sz w:val="24"/>
        </w:rPr>
      </w:pPr>
      <w:r w:rsidRPr="004621DC">
        <w:rPr>
          <w:rFonts w:ascii="Book Antiqua" w:hAnsi="Book Antiqua"/>
          <w:b/>
          <w:sz w:val="24"/>
        </w:rPr>
        <w:t>Delhi HC granted bail to petitioner as detaining him in judicial custody would adversely affect business</w:t>
      </w:r>
    </w:p>
    <w:p w:rsidR="006E4CDA" w:rsidRPr="004621DC" w:rsidRDefault="006E4CDA" w:rsidP="004621DC">
      <w:pPr>
        <w:jc w:val="both"/>
        <w:rPr>
          <w:rFonts w:ascii="Book Antiqua" w:hAnsi="Book Antiqua"/>
          <w:sz w:val="24"/>
        </w:rPr>
      </w:pPr>
      <w:r w:rsidRPr="004621DC">
        <w:rPr>
          <w:rFonts w:ascii="Book Antiqua" w:hAnsi="Book Antiqua"/>
          <w:sz w:val="24"/>
        </w:rPr>
        <w:t>The High Court of Delhi has recently held that anticipatory bail is a statutory right</w:t>
      </w:r>
      <w:r w:rsidR="00CF0AC2">
        <w:rPr>
          <w:rFonts w:ascii="Book Antiqua" w:hAnsi="Book Antiqua"/>
          <w:sz w:val="24"/>
        </w:rPr>
        <w:t>,</w:t>
      </w:r>
      <w:r w:rsidRPr="004621DC">
        <w:rPr>
          <w:rFonts w:ascii="Book Antiqua" w:hAnsi="Book Antiqua"/>
          <w:sz w:val="24"/>
        </w:rPr>
        <w:t xml:space="preserve"> and detention in judicial custody would affect </w:t>
      </w:r>
      <w:r w:rsidR="0080620C">
        <w:rPr>
          <w:rFonts w:ascii="Book Antiqua" w:hAnsi="Book Antiqua"/>
          <w:sz w:val="24"/>
        </w:rPr>
        <w:t>the petitioner’s business</w:t>
      </w:r>
      <w:r w:rsidRPr="004621DC">
        <w:rPr>
          <w:rFonts w:ascii="Book Antiqua" w:hAnsi="Book Antiqua"/>
          <w:sz w:val="24"/>
        </w:rPr>
        <w:t xml:space="preserve">. </w:t>
      </w:r>
      <w:r w:rsidR="0080620C">
        <w:rPr>
          <w:rFonts w:ascii="Book Antiqua" w:hAnsi="Book Antiqua"/>
          <w:sz w:val="24"/>
        </w:rPr>
        <w:t>The bail application would be allowed since the custodial interrogation is neither warranted nor provided for in GST law</w:t>
      </w:r>
      <w:r w:rsidRPr="004621DC">
        <w:rPr>
          <w:rFonts w:ascii="Book Antiqua" w:hAnsi="Book Antiqua"/>
          <w:sz w:val="24"/>
        </w:rPr>
        <w:t>. Th</w:t>
      </w:r>
      <w:r w:rsidR="0080620C">
        <w:rPr>
          <w:rFonts w:ascii="Book Antiqua" w:hAnsi="Book Antiqua"/>
          <w:sz w:val="24"/>
        </w:rPr>
        <w:t xml:space="preserve">e </w:t>
      </w:r>
      <w:proofErr w:type="spellStart"/>
      <w:r w:rsidR="0080620C">
        <w:rPr>
          <w:rFonts w:ascii="Book Antiqua" w:hAnsi="Book Antiqua"/>
          <w:sz w:val="24"/>
        </w:rPr>
        <w:t>Honorable</w:t>
      </w:r>
      <w:proofErr w:type="spellEnd"/>
      <w:r w:rsidR="0080620C">
        <w:rPr>
          <w:rFonts w:ascii="Book Antiqua" w:hAnsi="Book Antiqua"/>
          <w:sz w:val="24"/>
        </w:rPr>
        <w:t xml:space="preserve"> Delhi High Court gives this ruling</w:t>
      </w:r>
      <w:r w:rsidRPr="004621DC">
        <w:rPr>
          <w:rFonts w:ascii="Book Antiqua" w:hAnsi="Book Antiqua"/>
          <w:sz w:val="24"/>
        </w:rPr>
        <w:t xml:space="preserve"> in </w:t>
      </w:r>
      <w:r w:rsidR="0080620C">
        <w:rPr>
          <w:rFonts w:ascii="Book Antiqua" w:hAnsi="Book Antiqua"/>
          <w:sz w:val="24"/>
        </w:rPr>
        <w:t xml:space="preserve">the </w:t>
      </w:r>
      <w:r w:rsidRPr="004621DC">
        <w:rPr>
          <w:rFonts w:ascii="Book Antiqua" w:hAnsi="Book Antiqua"/>
          <w:sz w:val="24"/>
        </w:rPr>
        <w:t xml:space="preserve">case of </w:t>
      </w:r>
      <w:r w:rsidRPr="0080620C">
        <w:rPr>
          <w:rFonts w:ascii="Book Antiqua" w:hAnsi="Book Antiqua"/>
          <w:i/>
          <w:sz w:val="24"/>
        </w:rPr>
        <w:t>Tarun Jain v. Directorate General of GST Intelligence DGGI</w:t>
      </w:r>
      <w:r w:rsidRPr="004621DC">
        <w:rPr>
          <w:rFonts w:ascii="Book Antiqua" w:hAnsi="Book Antiqua"/>
          <w:sz w:val="24"/>
        </w:rPr>
        <w:t>.</w:t>
      </w:r>
    </w:p>
    <w:p w:rsidR="006E4CDA" w:rsidRPr="00B33F2E" w:rsidRDefault="006E4CDA" w:rsidP="004621DC">
      <w:pPr>
        <w:jc w:val="both"/>
        <w:rPr>
          <w:rFonts w:ascii="Book Antiqua" w:hAnsi="Book Antiqua"/>
          <w:i/>
          <w:sz w:val="24"/>
        </w:rPr>
      </w:pPr>
      <w:r w:rsidRPr="00B33F2E">
        <w:rPr>
          <w:rFonts w:ascii="Book Antiqua" w:hAnsi="Book Antiqua"/>
          <w:i/>
          <w:sz w:val="24"/>
        </w:rPr>
        <w:t>Facts</w:t>
      </w:r>
    </w:p>
    <w:p w:rsidR="006E4CDA" w:rsidRPr="004621DC" w:rsidRDefault="006E4CDA" w:rsidP="004621DC">
      <w:pPr>
        <w:jc w:val="both"/>
        <w:rPr>
          <w:rFonts w:ascii="Book Antiqua" w:hAnsi="Book Antiqua"/>
          <w:sz w:val="24"/>
        </w:rPr>
      </w:pPr>
      <w:r w:rsidRPr="004621DC">
        <w:rPr>
          <w:rFonts w:ascii="Book Antiqua" w:hAnsi="Book Antiqua"/>
          <w:sz w:val="24"/>
        </w:rPr>
        <w:lastRenderedPageBreak/>
        <w:t xml:space="preserve">The petitioner was </w:t>
      </w:r>
      <w:r w:rsidR="00B33F2E">
        <w:rPr>
          <w:rFonts w:ascii="Book Antiqua" w:hAnsi="Book Antiqua"/>
          <w:sz w:val="24"/>
        </w:rPr>
        <w:t xml:space="preserve">a </w:t>
      </w:r>
      <w:r w:rsidRPr="004621DC">
        <w:rPr>
          <w:rFonts w:ascii="Book Antiqua" w:hAnsi="Book Antiqua"/>
          <w:sz w:val="24"/>
        </w:rPr>
        <w:t xml:space="preserve">director in a company engaged in </w:t>
      </w:r>
      <w:r w:rsidR="00B33F2E">
        <w:rPr>
          <w:rFonts w:ascii="Book Antiqua" w:hAnsi="Book Antiqua"/>
          <w:sz w:val="24"/>
        </w:rPr>
        <w:t xml:space="preserve">the supply of </w:t>
      </w:r>
      <w:r w:rsidRPr="004621DC">
        <w:rPr>
          <w:rFonts w:ascii="Book Antiqua" w:hAnsi="Book Antiqua"/>
          <w:sz w:val="24"/>
        </w:rPr>
        <w:t>solar inverters, solar power generating units</w:t>
      </w:r>
      <w:r w:rsidR="00B33F2E">
        <w:rPr>
          <w:rFonts w:ascii="Book Antiqua" w:hAnsi="Book Antiqua"/>
          <w:sz w:val="24"/>
        </w:rPr>
        <w:t>,</w:t>
      </w:r>
      <w:r w:rsidRPr="004621DC">
        <w:rPr>
          <w:rFonts w:ascii="Book Antiqua" w:hAnsi="Book Antiqua"/>
          <w:sz w:val="24"/>
        </w:rPr>
        <w:t xml:space="preserve"> and like products. The department alleged that the company was involved in fraudulently availing ineligible/fake input tax credit as passed on by firms </w:t>
      </w:r>
      <w:r w:rsidR="00845B0E">
        <w:rPr>
          <w:rFonts w:ascii="Book Antiqua" w:hAnsi="Book Antiqua"/>
          <w:sz w:val="24"/>
        </w:rPr>
        <w:t>that</w:t>
      </w:r>
      <w:r w:rsidRPr="004621DC">
        <w:rPr>
          <w:rFonts w:ascii="Book Antiqua" w:hAnsi="Book Antiqua"/>
          <w:sz w:val="24"/>
        </w:rPr>
        <w:t xml:space="preserve"> were found</w:t>
      </w:r>
      <w:r w:rsidR="00845B0E">
        <w:rPr>
          <w:rFonts w:ascii="Book Antiqua" w:hAnsi="Book Antiqua"/>
          <w:sz w:val="24"/>
        </w:rPr>
        <w:t xml:space="preserve"> to be non-existent. The summon</w:t>
      </w:r>
      <w:r w:rsidRPr="004621DC">
        <w:rPr>
          <w:rFonts w:ascii="Book Antiqua" w:hAnsi="Book Antiqua"/>
          <w:sz w:val="24"/>
        </w:rPr>
        <w:t xml:space="preserve"> w</w:t>
      </w:r>
      <w:r w:rsidR="00845B0E">
        <w:rPr>
          <w:rFonts w:ascii="Book Antiqua" w:hAnsi="Book Antiqua"/>
          <w:sz w:val="24"/>
        </w:rPr>
        <w:t>as</w:t>
      </w:r>
      <w:r w:rsidRPr="004621DC">
        <w:rPr>
          <w:rFonts w:ascii="Book Antiqua" w:hAnsi="Book Antiqua"/>
          <w:sz w:val="24"/>
        </w:rPr>
        <w:t xml:space="preserve"> issued multiple times</w:t>
      </w:r>
      <w:r w:rsidR="00845B0E">
        <w:rPr>
          <w:rFonts w:ascii="Book Antiqua" w:hAnsi="Book Antiqua"/>
          <w:sz w:val="24"/>
        </w:rPr>
        <w:t>,</w:t>
      </w:r>
      <w:r w:rsidRPr="004621DC">
        <w:rPr>
          <w:rFonts w:ascii="Book Antiqua" w:hAnsi="Book Antiqua"/>
          <w:sz w:val="24"/>
        </w:rPr>
        <w:t xml:space="preserve"> but the petitioner failed to appear before the authorities citing medical problems. He filed an application for </w:t>
      </w:r>
      <w:r w:rsidR="00A36118">
        <w:rPr>
          <w:rFonts w:ascii="Book Antiqua" w:hAnsi="Book Antiqua"/>
          <w:sz w:val="24"/>
        </w:rPr>
        <w:t>a</w:t>
      </w:r>
      <w:r w:rsidRPr="004621DC">
        <w:rPr>
          <w:rFonts w:ascii="Book Antiqua" w:hAnsi="Book Antiqua"/>
          <w:sz w:val="24"/>
        </w:rPr>
        <w:t xml:space="preserve">nticipatory </w:t>
      </w:r>
      <w:r w:rsidR="00A36118">
        <w:rPr>
          <w:rFonts w:ascii="Book Antiqua" w:hAnsi="Book Antiqua"/>
          <w:sz w:val="24"/>
        </w:rPr>
        <w:t>b</w:t>
      </w:r>
      <w:r w:rsidRPr="004621DC">
        <w:rPr>
          <w:rFonts w:ascii="Book Antiqua" w:hAnsi="Book Antiqua"/>
          <w:sz w:val="24"/>
        </w:rPr>
        <w:t>ail</w:t>
      </w:r>
      <w:r w:rsidR="00586F98">
        <w:rPr>
          <w:rFonts w:ascii="Book Antiqua" w:hAnsi="Book Antiqua"/>
          <w:sz w:val="24"/>
        </w:rPr>
        <w:t>,</w:t>
      </w:r>
      <w:r w:rsidRPr="004621DC">
        <w:rPr>
          <w:rFonts w:ascii="Book Antiqua" w:hAnsi="Book Antiqua"/>
          <w:sz w:val="24"/>
        </w:rPr>
        <w:t xml:space="preserve"> but it was rejected. </w:t>
      </w:r>
      <w:r w:rsidR="00252E82">
        <w:rPr>
          <w:rFonts w:ascii="Book Antiqua" w:hAnsi="Book Antiqua"/>
          <w:sz w:val="24"/>
        </w:rPr>
        <w:t>After that</w:t>
      </w:r>
      <w:r w:rsidRPr="004621DC">
        <w:rPr>
          <w:rFonts w:ascii="Book Antiqua" w:hAnsi="Book Antiqua"/>
          <w:sz w:val="24"/>
        </w:rPr>
        <w:t xml:space="preserve">, he filed </w:t>
      </w:r>
      <w:r w:rsidR="00252E82">
        <w:rPr>
          <w:rFonts w:ascii="Book Antiqua" w:hAnsi="Book Antiqua"/>
          <w:sz w:val="24"/>
        </w:rPr>
        <w:t xml:space="preserve">an </w:t>
      </w:r>
      <w:r w:rsidRPr="004621DC">
        <w:rPr>
          <w:rFonts w:ascii="Book Antiqua" w:hAnsi="Book Antiqua"/>
          <w:sz w:val="24"/>
        </w:rPr>
        <w:t xml:space="preserve">application for bail before the High Court and submitted that the allegations </w:t>
      </w:r>
      <w:proofErr w:type="spellStart"/>
      <w:r w:rsidRPr="004621DC">
        <w:rPr>
          <w:rFonts w:ascii="Book Antiqua" w:hAnsi="Book Antiqua"/>
          <w:sz w:val="24"/>
        </w:rPr>
        <w:t>leveled</w:t>
      </w:r>
      <w:proofErr w:type="spellEnd"/>
      <w:r w:rsidRPr="004621DC">
        <w:rPr>
          <w:rFonts w:ascii="Book Antiqua" w:hAnsi="Book Antiqua"/>
          <w:sz w:val="24"/>
        </w:rPr>
        <w:t xml:space="preserve"> against him were false and frivolous.</w:t>
      </w:r>
    </w:p>
    <w:p w:rsidR="006E4CDA" w:rsidRPr="00252E82" w:rsidRDefault="006E4CDA" w:rsidP="004621DC">
      <w:pPr>
        <w:jc w:val="both"/>
        <w:rPr>
          <w:rFonts w:ascii="Book Antiqua" w:hAnsi="Book Antiqua"/>
          <w:i/>
          <w:sz w:val="24"/>
        </w:rPr>
      </w:pPr>
      <w:r w:rsidRPr="00252E82">
        <w:rPr>
          <w:rFonts w:ascii="Book Antiqua" w:hAnsi="Book Antiqua"/>
          <w:i/>
          <w:sz w:val="24"/>
        </w:rPr>
        <w:t>High Court</w:t>
      </w:r>
    </w:p>
    <w:p w:rsidR="006E4CDA" w:rsidRPr="004621DC" w:rsidRDefault="006E4CDA" w:rsidP="004621DC">
      <w:pPr>
        <w:jc w:val="both"/>
        <w:rPr>
          <w:rFonts w:ascii="Book Antiqua" w:hAnsi="Book Antiqua"/>
          <w:sz w:val="24"/>
        </w:rPr>
      </w:pPr>
      <w:r w:rsidRPr="004621DC">
        <w:rPr>
          <w:rFonts w:ascii="Book Antiqua" w:hAnsi="Book Antiqua"/>
          <w:sz w:val="24"/>
        </w:rPr>
        <w:t xml:space="preserve">The </w:t>
      </w:r>
      <w:proofErr w:type="spellStart"/>
      <w:r w:rsidRPr="004621DC">
        <w:rPr>
          <w:rFonts w:ascii="Book Antiqua" w:hAnsi="Book Antiqua"/>
          <w:sz w:val="24"/>
        </w:rPr>
        <w:t>Honorable</w:t>
      </w:r>
      <w:proofErr w:type="spellEnd"/>
      <w:r w:rsidRPr="004621DC">
        <w:rPr>
          <w:rFonts w:ascii="Book Antiqua" w:hAnsi="Book Antiqua"/>
          <w:sz w:val="24"/>
        </w:rPr>
        <w:t xml:space="preserve"> High Court observed that there c</w:t>
      </w:r>
      <w:r w:rsidR="000E7959">
        <w:rPr>
          <w:rFonts w:ascii="Book Antiqua" w:hAnsi="Book Antiqua"/>
          <w:sz w:val="24"/>
        </w:rPr>
        <w:t xml:space="preserve">ould </w:t>
      </w:r>
      <w:r w:rsidRPr="004621DC">
        <w:rPr>
          <w:rFonts w:ascii="Book Antiqua" w:hAnsi="Book Antiqua"/>
          <w:sz w:val="24"/>
        </w:rPr>
        <w:t xml:space="preserve">not be any conflict with the fact that </w:t>
      </w:r>
      <w:r w:rsidR="000E7959">
        <w:rPr>
          <w:rFonts w:ascii="Book Antiqua" w:hAnsi="Book Antiqua"/>
          <w:sz w:val="24"/>
        </w:rPr>
        <w:t xml:space="preserve">the </w:t>
      </w:r>
      <w:r w:rsidRPr="004621DC">
        <w:rPr>
          <w:rFonts w:ascii="Book Antiqua" w:hAnsi="Book Antiqua"/>
          <w:sz w:val="24"/>
        </w:rPr>
        <w:t xml:space="preserve">petitioner has been charged with </w:t>
      </w:r>
      <w:r w:rsidR="000E7959">
        <w:rPr>
          <w:rFonts w:ascii="Book Antiqua" w:hAnsi="Book Antiqua"/>
          <w:sz w:val="24"/>
        </w:rPr>
        <w:t xml:space="preserve">an </w:t>
      </w:r>
      <w:r w:rsidRPr="004621DC">
        <w:rPr>
          <w:rFonts w:ascii="Book Antiqua" w:hAnsi="Book Antiqua"/>
          <w:sz w:val="24"/>
        </w:rPr>
        <w:t xml:space="preserve">economic offence. In the present case, the petitioner was accused of wrongfully utilizing the </w:t>
      </w:r>
      <w:r w:rsidR="000E7959">
        <w:rPr>
          <w:rFonts w:ascii="Book Antiqua" w:hAnsi="Book Antiqua"/>
          <w:sz w:val="24"/>
        </w:rPr>
        <w:t>i</w:t>
      </w:r>
      <w:r w:rsidRPr="004621DC">
        <w:rPr>
          <w:rFonts w:ascii="Book Antiqua" w:hAnsi="Book Antiqua"/>
          <w:sz w:val="24"/>
        </w:rPr>
        <w:t xml:space="preserve">nput </w:t>
      </w:r>
      <w:r w:rsidR="000E7959">
        <w:rPr>
          <w:rFonts w:ascii="Book Antiqua" w:hAnsi="Book Antiqua"/>
          <w:sz w:val="24"/>
        </w:rPr>
        <w:t>t</w:t>
      </w:r>
      <w:r w:rsidRPr="004621DC">
        <w:rPr>
          <w:rFonts w:ascii="Book Antiqua" w:hAnsi="Book Antiqua"/>
          <w:sz w:val="24"/>
        </w:rPr>
        <w:t xml:space="preserve">ax </w:t>
      </w:r>
      <w:r w:rsidR="000E7959">
        <w:rPr>
          <w:rFonts w:ascii="Book Antiqua" w:hAnsi="Book Antiqua"/>
          <w:sz w:val="24"/>
        </w:rPr>
        <w:t>c</w:t>
      </w:r>
      <w:r w:rsidRPr="004621DC">
        <w:rPr>
          <w:rFonts w:ascii="Book Antiqua" w:hAnsi="Book Antiqua"/>
          <w:sz w:val="24"/>
        </w:rPr>
        <w:t xml:space="preserve">redit </w:t>
      </w:r>
      <w:r w:rsidR="000E7959">
        <w:rPr>
          <w:rFonts w:ascii="Book Antiqua" w:hAnsi="Book Antiqua"/>
          <w:sz w:val="24"/>
        </w:rPr>
        <w:t>of</w:t>
      </w:r>
      <w:r w:rsidRPr="004621DC">
        <w:rPr>
          <w:rFonts w:ascii="Book Antiqua" w:hAnsi="Book Antiqua"/>
          <w:sz w:val="24"/>
        </w:rPr>
        <w:t xml:space="preserve"> Rs. 72 </w:t>
      </w:r>
      <w:r w:rsidR="000E7959">
        <w:rPr>
          <w:rFonts w:ascii="Book Antiqua" w:hAnsi="Book Antiqua"/>
          <w:sz w:val="24"/>
        </w:rPr>
        <w:t>c</w:t>
      </w:r>
      <w:r w:rsidRPr="004621DC">
        <w:rPr>
          <w:rFonts w:ascii="Book Antiqua" w:hAnsi="Book Antiqua"/>
          <w:sz w:val="24"/>
        </w:rPr>
        <w:t xml:space="preserve">rores. However, it would be reiterated that the offence does not contemplate punishment for more than five years. Moreover, the offences under the GST Act are not grave to an extent where the custody of the accused can be held to be </w:t>
      </w:r>
      <w:r w:rsidRPr="005646EA">
        <w:rPr>
          <w:rFonts w:ascii="Book Antiqua" w:hAnsi="Book Antiqua"/>
          <w:i/>
          <w:sz w:val="24"/>
        </w:rPr>
        <w:t>sine qua non</w:t>
      </w:r>
      <w:r w:rsidRPr="004621DC">
        <w:rPr>
          <w:rFonts w:ascii="Book Antiqua" w:hAnsi="Book Antiqua"/>
          <w:sz w:val="24"/>
        </w:rPr>
        <w:t xml:space="preserve">. Also, the detention in judicial custody would affect </w:t>
      </w:r>
      <w:r w:rsidR="005646EA">
        <w:rPr>
          <w:rFonts w:ascii="Book Antiqua" w:hAnsi="Book Antiqua"/>
          <w:sz w:val="24"/>
        </w:rPr>
        <w:t xml:space="preserve">the </w:t>
      </w:r>
      <w:r w:rsidRPr="004621DC">
        <w:rPr>
          <w:rFonts w:ascii="Book Antiqua" w:hAnsi="Book Antiqua"/>
          <w:sz w:val="24"/>
        </w:rPr>
        <w:t xml:space="preserve">business of </w:t>
      </w:r>
      <w:r w:rsidR="005646EA">
        <w:rPr>
          <w:rFonts w:ascii="Book Antiqua" w:hAnsi="Book Antiqua"/>
          <w:sz w:val="24"/>
        </w:rPr>
        <w:t xml:space="preserve">the </w:t>
      </w:r>
      <w:r w:rsidRPr="004621DC">
        <w:rPr>
          <w:rFonts w:ascii="Book Antiqua" w:hAnsi="Book Antiqua"/>
          <w:sz w:val="24"/>
        </w:rPr>
        <w:t xml:space="preserve">petitioner. Therefore, it was held that bail application would be allowed since </w:t>
      </w:r>
      <w:r w:rsidR="005646EA">
        <w:rPr>
          <w:rFonts w:ascii="Book Antiqua" w:hAnsi="Book Antiqua"/>
          <w:sz w:val="24"/>
        </w:rPr>
        <w:t>a</w:t>
      </w:r>
      <w:r w:rsidRPr="004621DC">
        <w:rPr>
          <w:rFonts w:ascii="Book Antiqua" w:hAnsi="Book Antiqua"/>
          <w:sz w:val="24"/>
        </w:rPr>
        <w:t xml:space="preserve">nticipatory </w:t>
      </w:r>
      <w:r w:rsidR="005646EA">
        <w:rPr>
          <w:rFonts w:ascii="Book Antiqua" w:hAnsi="Book Antiqua"/>
          <w:sz w:val="24"/>
        </w:rPr>
        <w:t>b</w:t>
      </w:r>
      <w:r w:rsidRPr="004621DC">
        <w:rPr>
          <w:rFonts w:ascii="Book Antiqua" w:hAnsi="Book Antiqua"/>
          <w:sz w:val="24"/>
        </w:rPr>
        <w:t>ail is a statutory right and custodial interrogation is neither warranted nor provided for in GST law.</w:t>
      </w:r>
    </w:p>
    <w:p w:rsidR="006E4CDA" w:rsidRPr="008B1A50" w:rsidRDefault="00E8140F" w:rsidP="004621DC">
      <w:pPr>
        <w:jc w:val="both"/>
        <w:rPr>
          <w:rFonts w:ascii="Book Antiqua" w:hAnsi="Book Antiqua"/>
          <w:i/>
          <w:sz w:val="24"/>
        </w:rPr>
      </w:pPr>
      <w:hyperlink r:id="rId10" w:history="1">
        <w:r w:rsidR="006E4CDA" w:rsidRPr="004621DC">
          <w:rPr>
            <w:rStyle w:val="Hyperlink"/>
            <w:rFonts w:ascii="Book Antiqua" w:hAnsi="Book Antiqua"/>
            <w:i/>
            <w:sz w:val="24"/>
          </w:rPr>
          <w:t>Read the Ruling</w:t>
        </w:r>
      </w:hyperlink>
    </w:p>
    <w:p w:rsidR="00F8264D" w:rsidRPr="004621DC" w:rsidRDefault="008B1A50" w:rsidP="000D2BF8">
      <w:pPr>
        <w:pStyle w:val="ListParagraph"/>
        <w:numPr>
          <w:ilvl w:val="0"/>
          <w:numId w:val="39"/>
        </w:numPr>
        <w:jc w:val="both"/>
        <w:rPr>
          <w:rFonts w:ascii="Book Antiqua" w:eastAsia="Times New Roman" w:hAnsi="Book Antiqua" w:cs="Arial"/>
          <w:b/>
          <w:bCs/>
          <w:sz w:val="24"/>
        </w:rPr>
      </w:pPr>
      <w:r>
        <w:rPr>
          <w:rFonts w:ascii="Book Antiqua" w:hAnsi="Book Antiqua"/>
          <w:b/>
          <w:bCs/>
          <w:sz w:val="24"/>
        </w:rPr>
        <w:t>R</w:t>
      </w:r>
      <w:r w:rsidR="00F8264D" w:rsidRPr="004621DC">
        <w:rPr>
          <w:rFonts w:ascii="Book Antiqua" w:eastAsia="Times New Roman" w:hAnsi="Book Antiqua" w:cs="Arial"/>
          <w:b/>
          <w:bCs/>
          <w:sz w:val="24"/>
        </w:rPr>
        <w:t xml:space="preserve">ecognition of revenue from </w:t>
      </w:r>
      <w:r w:rsidR="00242C97">
        <w:rPr>
          <w:rFonts w:ascii="Book Antiqua" w:eastAsia="Times New Roman" w:hAnsi="Book Antiqua" w:cs="Arial"/>
          <w:b/>
          <w:bCs/>
          <w:sz w:val="24"/>
        </w:rPr>
        <w:t xml:space="preserve">the </w:t>
      </w:r>
      <w:r w:rsidR="00F8264D" w:rsidRPr="004621DC">
        <w:rPr>
          <w:rFonts w:ascii="Book Antiqua" w:eastAsia="Times New Roman" w:hAnsi="Book Antiqua" w:cs="Arial"/>
          <w:b/>
          <w:bCs/>
          <w:sz w:val="24"/>
        </w:rPr>
        <w:t>sale o</w:t>
      </w:r>
      <w:r w:rsidR="00AF26B3">
        <w:rPr>
          <w:rFonts w:ascii="Book Antiqua" w:eastAsia="Times New Roman" w:hAnsi="Book Antiqua" w:cs="Arial"/>
          <w:b/>
          <w:bCs/>
          <w:sz w:val="24"/>
        </w:rPr>
        <w:t>f electricity as per Ind AS 115</w:t>
      </w:r>
    </w:p>
    <w:p w:rsidR="00F8264D" w:rsidRPr="00242C97" w:rsidRDefault="00F8264D" w:rsidP="004621DC">
      <w:pPr>
        <w:pStyle w:val="NoSpacing"/>
        <w:jc w:val="both"/>
        <w:rPr>
          <w:rFonts w:ascii="Book Antiqua" w:hAnsi="Book Antiqua"/>
          <w:bCs/>
          <w:i/>
          <w:sz w:val="24"/>
        </w:rPr>
      </w:pPr>
      <w:r w:rsidRPr="00242C97">
        <w:rPr>
          <w:rFonts w:ascii="Book Antiqua" w:hAnsi="Book Antiqua"/>
          <w:bCs/>
          <w:i/>
          <w:sz w:val="24"/>
        </w:rPr>
        <w:t>Example</w:t>
      </w:r>
    </w:p>
    <w:p w:rsidR="00F8264D" w:rsidRPr="004621DC" w:rsidRDefault="00F8264D" w:rsidP="004621DC">
      <w:pPr>
        <w:spacing w:before="100" w:beforeAutospacing="1" w:after="100" w:afterAutospacing="1"/>
        <w:jc w:val="both"/>
        <w:rPr>
          <w:rFonts w:ascii="Book Antiqua" w:eastAsia="Times New Roman" w:hAnsi="Book Antiqua" w:cs="Arial"/>
          <w:sz w:val="24"/>
        </w:rPr>
      </w:pPr>
      <w:r w:rsidRPr="004621DC">
        <w:rPr>
          <w:rFonts w:ascii="Book Antiqua" w:eastAsia="Times New Roman" w:hAnsi="Book Antiqua" w:cs="Arial"/>
          <w:sz w:val="24"/>
        </w:rPr>
        <w:t xml:space="preserve">PQR Electricity Trading Ltd. is engaged in the business of trading electricity. For trade deals on back-to-back basis as well as trade through power exchanges, revenue from sale of electricity is recognized, net of estimated rebates and other similar allowances, when the units of electricity are delivered. Revenue from such contracts is recognized over time for each unit of electricity delivered at a pre-determined rate. For trade deals on an open position, revenue is determined on a gross basis. </w:t>
      </w:r>
    </w:p>
    <w:p w:rsidR="00F8264D" w:rsidRPr="004621DC" w:rsidRDefault="00F8264D" w:rsidP="004621DC">
      <w:pPr>
        <w:spacing w:before="100" w:beforeAutospacing="1" w:after="100" w:afterAutospacing="1"/>
        <w:jc w:val="both"/>
        <w:rPr>
          <w:rFonts w:ascii="Book Antiqua" w:eastAsia="Times New Roman" w:hAnsi="Book Antiqua" w:cs="Arial"/>
          <w:sz w:val="24"/>
        </w:rPr>
      </w:pPr>
      <w:r w:rsidRPr="004621DC">
        <w:rPr>
          <w:rFonts w:ascii="Book Antiqua" w:eastAsia="Times New Roman" w:hAnsi="Book Antiqua" w:cs="Arial"/>
          <w:sz w:val="24"/>
        </w:rPr>
        <w:t xml:space="preserve">Whether the </w:t>
      </w:r>
      <w:r w:rsidR="00C15D01">
        <w:rPr>
          <w:rFonts w:ascii="Book Antiqua" w:eastAsia="Times New Roman" w:hAnsi="Book Antiqua" w:cs="Arial"/>
          <w:sz w:val="24"/>
        </w:rPr>
        <w:t>c</w:t>
      </w:r>
      <w:r w:rsidRPr="004621DC">
        <w:rPr>
          <w:rFonts w:ascii="Book Antiqua" w:eastAsia="Times New Roman" w:hAnsi="Book Antiqua" w:cs="Arial"/>
          <w:sz w:val="24"/>
        </w:rPr>
        <w:t>ompany</w:t>
      </w:r>
      <w:r w:rsidR="008255A1">
        <w:rPr>
          <w:rFonts w:ascii="Book Antiqua" w:eastAsia="Times New Roman" w:hAnsi="Book Antiqua" w:cs="Arial"/>
          <w:sz w:val="24"/>
        </w:rPr>
        <w:t>’</w:t>
      </w:r>
      <w:r w:rsidRPr="004621DC">
        <w:rPr>
          <w:rFonts w:ascii="Book Antiqua" w:eastAsia="Times New Roman" w:hAnsi="Book Antiqua" w:cs="Arial"/>
          <w:sz w:val="24"/>
        </w:rPr>
        <w:t>s revenue recognition policy for electricity trading business is in conformity to the principles specified in Ind AS 115?</w:t>
      </w:r>
    </w:p>
    <w:p w:rsidR="00F8264D" w:rsidRPr="00242C97" w:rsidRDefault="00F8264D" w:rsidP="004621DC">
      <w:pPr>
        <w:spacing w:before="100" w:beforeAutospacing="1" w:after="100" w:afterAutospacing="1"/>
        <w:jc w:val="both"/>
        <w:rPr>
          <w:rFonts w:ascii="Book Antiqua" w:eastAsia="Times New Roman" w:hAnsi="Book Antiqua" w:cs="Arial"/>
          <w:bCs/>
          <w:i/>
          <w:sz w:val="24"/>
        </w:rPr>
      </w:pPr>
      <w:r w:rsidRPr="00242C97">
        <w:rPr>
          <w:rFonts w:ascii="Book Antiqua" w:eastAsia="Times New Roman" w:hAnsi="Book Antiqua" w:cs="Arial"/>
          <w:bCs/>
          <w:i/>
          <w:sz w:val="24"/>
        </w:rPr>
        <w:t>Answer</w:t>
      </w:r>
    </w:p>
    <w:p w:rsidR="00F8264D" w:rsidRPr="004621DC" w:rsidRDefault="00F8264D" w:rsidP="004621DC">
      <w:pPr>
        <w:spacing w:before="100" w:beforeAutospacing="1" w:after="100" w:afterAutospacing="1"/>
        <w:jc w:val="both"/>
        <w:rPr>
          <w:rFonts w:ascii="Book Antiqua" w:eastAsia="Times New Roman" w:hAnsi="Book Antiqua" w:cs="Arial"/>
          <w:sz w:val="24"/>
        </w:rPr>
      </w:pPr>
      <w:r w:rsidRPr="004621DC">
        <w:rPr>
          <w:rFonts w:ascii="Book Antiqua" w:eastAsia="Times New Roman" w:hAnsi="Book Antiqua" w:cs="Arial"/>
          <w:sz w:val="24"/>
        </w:rPr>
        <w:t>As per</w:t>
      </w:r>
      <w:r w:rsidRPr="004621DC">
        <w:rPr>
          <w:rFonts w:ascii="Book Antiqua" w:eastAsia="Times New Roman" w:hAnsi="Book Antiqua" w:cs="Arial"/>
          <w:b/>
          <w:bCs/>
          <w:sz w:val="24"/>
        </w:rPr>
        <w:t xml:space="preserve"> </w:t>
      </w:r>
      <w:r w:rsidR="008F1842">
        <w:rPr>
          <w:rFonts w:ascii="Book Antiqua" w:eastAsia="Times New Roman" w:hAnsi="Book Antiqua" w:cs="Arial"/>
          <w:i/>
          <w:iCs/>
          <w:sz w:val="24"/>
        </w:rPr>
        <w:t>A</w:t>
      </w:r>
      <w:r w:rsidRPr="004621DC">
        <w:rPr>
          <w:rFonts w:ascii="Book Antiqua" w:eastAsia="Times New Roman" w:hAnsi="Book Antiqua" w:cs="Arial"/>
          <w:i/>
          <w:iCs/>
          <w:sz w:val="24"/>
        </w:rPr>
        <w:t xml:space="preserve">ppendix 34-38 of Ind AS 115 </w:t>
      </w:r>
      <w:r w:rsidR="008F1842">
        <w:rPr>
          <w:rFonts w:ascii="Book Antiqua" w:eastAsia="Times New Roman" w:hAnsi="Book Antiqua" w:cs="Arial"/>
          <w:i/>
          <w:iCs/>
          <w:sz w:val="24"/>
        </w:rPr>
        <w:t>(</w:t>
      </w:r>
      <w:r w:rsidRPr="004621DC">
        <w:rPr>
          <w:rFonts w:ascii="Book Antiqua" w:hAnsi="Book Antiqua"/>
          <w:i/>
          <w:iCs/>
          <w:sz w:val="24"/>
        </w:rPr>
        <w:t>Revenue from Contracts with Customers</w:t>
      </w:r>
      <w:r w:rsidR="008F1842">
        <w:rPr>
          <w:rFonts w:ascii="Book Antiqua" w:hAnsi="Book Antiqua"/>
          <w:i/>
          <w:iCs/>
          <w:sz w:val="24"/>
        </w:rPr>
        <w:t>)</w:t>
      </w:r>
      <w:r w:rsidRPr="004621DC">
        <w:rPr>
          <w:rFonts w:ascii="Book Antiqua" w:hAnsi="Book Antiqua"/>
          <w:sz w:val="24"/>
        </w:rPr>
        <w:t xml:space="preserve">, </w:t>
      </w:r>
      <w:r w:rsidRPr="004621DC">
        <w:rPr>
          <w:rFonts w:ascii="Book Antiqua" w:eastAsia="Times New Roman" w:hAnsi="Book Antiqua" w:cs="Arial"/>
          <w:sz w:val="24"/>
        </w:rPr>
        <w:t>for electricity trading business, where another party is involved in providing goods or services to a customer, then, for the purpose of revenue recognition, it is necessary to identify the principal-agent relationship as specified.</w:t>
      </w:r>
    </w:p>
    <w:p w:rsidR="00F8264D" w:rsidRPr="004621DC" w:rsidRDefault="00F8264D" w:rsidP="004621DC">
      <w:pPr>
        <w:spacing w:before="100" w:beforeAutospacing="1" w:after="100" w:afterAutospacing="1"/>
        <w:jc w:val="both"/>
        <w:rPr>
          <w:rFonts w:ascii="Book Antiqua" w:eastAsia="Times New Roman" w:hAnsi="Book Antiqua" w:cs="Arial"/>
          <w:sz w:val="24"/>
        </w:rPr>
      </w:pPr>
      <w:r w:rsidRPr="004621DC">
        <w:rPr>
          <w:rFonts w:ascii="Book Antiqua" w:eastAsia="Times New Roman" w:hAnsi="Book Antiqua" w:cs="Arial"/>
          <w:sz w:val="24"/>
        </w:rPr>
        <w:lastRenderedPageBreak/>
        <w:t xml:space="preserve">The entity shall determine whether the nature of its promise is a performance obligation to provide the specified goods or services itself (principal) or to arrange for the other party to provide those goods or services (agent). When an entity that is a principal satisfies a performance obligation, the entity recognizes revenue on a gross basis. When an entity that is an agent satisfies a performance obligation, the entity recognizes revenue </w:t>
      </w:r>
      <w:r w:rsidR="00E02475">
        <w:rPr>
          <w:rFonts w:ascii="Book Antiqua" w:eastAsia="Times New Roman" w:hAnsi="Book Antiqua" w:cs="Arial"/>
          <w:sz w:val="24"/>
        </w:rPr>
        <w:t>to the extent</w:t>
      </w:r>
      <w:r w:rsidRPr="004621DC">
        <w:rPr>
          <w:rFonts w:ascii="Book Antiqua" w:eastAsia="Times New Roman" w:hAnsi="Book Antiqua" w:cs="Arial"/>
          <w:sz w:val="24"/>
        </w:rPr>
        <w:t xml:space="preserve"> of any fee or commission.</w:t>
      </w:r>
    </w:p>
    <w:p w:rsidR="00F8264D" w:rsidRPr="004621DC" w:rsidRDefault="00F8264D" w:rsidP="004621DC">
      <w:pPr>
        <w:spacing w:before="100" w:beforeAutospacing="1" w:after="100" w:afterAutospacing="1"/>
        <w:jc w:val="both"/>
        <w:rPr>
          <w:rFonts w:ascii="Book Antiqua" w:eastAsia="Times New Roman" w:hAnsi="Book Antiqua" w:cs="Arial"/>
          <w:sz w:val="24"/>
        </w:rPr>
      </w:pPr>
      <w:r w:rsidRPr="004621DC">
        <w:rPr>
          <w:rFonts w:ascii="Book Antiqua" w:eastAsia="Times New Roman" w:hAnsi="Book Antiqua" w:cs="Arial"/>
          <w:sz w:val="24"/>
        </w:rPr>
        <w:t xml:space="preserve">The entity should assess whether it controls each specified good or service before </w:t>
      </w:r>
      <w:r w:rsidR="003D1EAD">
        <w:rPr>
          <w:rFonts w:ascii="Book Antiqua" w:eastAsia="Times New Roman" w:hAnsi="Book Antiqua" w:cs="Arial"/>
          <w:sz w:val="24"/>
        </w:rPr>
        <w:t>it is transferred to the customer</w:t>
      </w:r>
      <w:r w:rsidRPr="004621DC">
        <w:rPr>
          <w:rFonts w:ascii="Book Antiqua" w:eastAsia="Times New Roman" w:hAnsi="Book Antiqua" w:cs="Arial"/>
          <w:sz w:val="24"/>
        </w:rPr>
        <w:t xml:space="preserve"> using various indicators.</w:t>
      </w:r>
    </w:p>
    <w:p w:rsidR="00F8264D" w:rsidRPr="004621DC" w:rsidRDefault="00F8264D" w:rsidP="004621DC">
      <w:pPr>
        <w:spacing w:before="100" w:beforeAutospacing="1" w:after="100" w:afterAutospacing="1"/>
        <w:jc w:val="both"/>
        <w:rPr>
          <w:rFonts w:ascii="Book Antiqua" w:eastAsia="Times New Roman" w:hAnsi="Book Antiqua" w:cs="Arial"/>
          <w:sz w:val="24"/>
        </w:rPr>
      </w:pPr>
      <w:r w:rsidRPr="004621DC">
        <w:rPr>
          <w:rFonts w:ascii="Book Antiqua" w:eastAsia="Times New Roman" w:hAnsi="Book Antiqua" w:cs="Arial"/>
          <w:sz w:val="24"/>
        </w:rPr>
        <w:t>In the aforesaid case, the primary responsibility for fulfill</w:t>
      </w:r>
      <w:r w:rsidR="004C5BA2">
        <w:rPr>
          <w:rFonts w:ascii="Book Antiqua" w:eastAsia="Times New Roman" w:hAnsi="Book Antiqua" w:cs="Arial"/>
          <w:sz w:val="24"/>
        </w:rPr>
        <w:t>ing</w:t>
      </w:r>
      <w:r w:rsidRPr="004621DC">
        <w:rPr>
          <w:rFonts w:ascii="Book Antiqua" w:eastAsia="Times New Roman" w:hAnsi="Book Antiqua" w:cs="Arial"/>
          <w:sz w:val="24"/>
        </w:rPr>
        <w:t xml:space="preserve"> the contract is not with the </w:t>
      </w:r>
      <w:r w:rsidR="00C15D01">
        <w:rPr>
          <w:rFonts w:ascii="Book Antiqua" w:eastAsia="Times New Roman" w:hAnsi="Book Antiqua" w:cs="Arial"/>
          <w:sz w:val="24"/>
        </w:rPr>
        <w:t>c</w:t>
      </w:r>
      <w:r w:rsidRPr="004621DC">
        <w:rPr>
          <w:rFonts w:ascii="Book Antiqua" w:eastAsia="Times New Roman" w:hAnsi="Book Antiqua" w:cs="Arial"/>
          <w:sz w:val="24"/>
        </w:rPr>
        <w:t xml:space="preserve">ompany, and the company is not exposed to inventory risk. Also, the </w:t>
      </w:r>
      <w:r w:rsidR="00C15D01">
        <w:rPr>
          <w:rFonts w:ascii="Book Antiqua" w:eastAsia="Times New Roman" w:hAnsi="Book Antiqua" w:cs="Arial"/>
          <w:sz w:val="24"/>
        </w:rPr>
        <w:t>c</w:t>
      </w:r>
      <w:r w:rsidRPr="004621DC">
        <w:rPr>
          <w:rFonts w:ascii="Book Antiqua" w:eastAsia="Times New Roman" w:hAnsi="Book Antiqua" w:cs="Arial"/>
          <w:sz w:val="24"/>
        </w:rPr>
        <w:t xml:space="preserve">ompany does not have pricing discretion since the price for power is discovered through power exchange. Hence, it can be inferred that the </w:t>
      </w:r>
      <w:r w:rsidR="00C15D01">
        <w:rPr>
          <w:rFonts w:ascii="Book Antiqua" w:eastAsia="Times New Roman" w:hAnsi="Book Antiqua" w:cs="Arial"/>
          <w:sz w:val="24"/>
        </w:rPr>
        <w:t>c</w:t>
      </w:r>
      <w:r w:rsidRPr="004621DC">
        <w:rPr>
          <w:rFonts w:ascii="Book Antiqua" w:eastAsia="Times New Roman" w:hAnsi="Book Antiqua" w:cs="Arial"/>
          <w:sz w:val="24"/>
        </w:rPr>
        <w:t>ompany is acting as an agent for the purpose of accounting under Ind AS 115</w:t>
      </w:r>
      <w:r w:rsidR="00E8140F">
        <w:rPr>
          <w:rFonts w:ascii="Book Antiqua" w:eastAsia="Times New Roman" w:hAnsi="Book Antiqua" w:cs="Arial"/>
          <w:sz w:val="24"/>
        </w:rPr>
        <w:t>,</w:t>
      </w:r>
      <w:r w:rsidRPr="004621DC">
        <w:rPr>
          <w:rFonts w:ascii="Book Antiqua" w:eastAsia="Times New Roman" w:hAnsi="Book Antiqua" w:cs="Arial"/>
          <w:sz w:val="24"/>
        </w:rPr>
        <w:t xml:space="preserve"> and its performance obligation is to arrange for the right to power supply rather than supplying power itself. Therefore, in </w:t>
      </w:r>
      <w:r w:rsidR="00E8140F">
        <w:rPr>
          <w:rFonts w:ascii="Book Antiqua" w:eastAsia="Times New Roman" w:hAnsi="Book Antiqua" w:cs="Arial"/>
          <w:sz w:val="24"/>
        </w:rPr>
        <w:t xml:space="preserve">the </w:t>
      </w:r>
      <w:r w:rsidRPr="004621DC">
        <w:rPr>
          <w:rFonts w:ascii="Book Antiqua" w:eastAsia="Times New Roman" w:hAnsi="Book Antiqua" w:cs="Arial"/>
          <w:sz w:val="24"/>
        </w:rPr>
        <w:t xml:space="preserve">case of back-to-back arrangements and where power is traded through power exchanges, the </w:t>
      </w:r>
      <w:r w:rsidR="00C15D01">
        <w:rPr>
          <w:rFonts w:ascii="Book Antiqua" w:eastAsia="Times New Roman" w:hAnsi="Book Antiqua" w:cs="Arial"/>
          <w:sz w:val="24"/>
        </w:rPr>
        <w:t>c</w:t>
      </w:r>
      <w:r w:rsidRPr="004621DC">
        <w:rPr>
          <w:rFonts w:ascii="Book Antiqua" w:eastAsia="Times New Roman" w:hAnsi="Book Antiqua" w:cs="Arial"/>
          <w:sz w:val="24"/>
        </w:rPr>
        <w:t>ompany should recognize the revenue as an agent</w:t>
      </w:r>
      <w:r w:rsidR="00E8140F">
        <w:rPr>
          <w:rFonts w:ascii="Book Antiqua" w:eastAsia="Times New Roman" w:hAnsi="Book Antiqua" w:cs="Arial"/>
          <w:sz w:val="24"/>
        </w:rPr>
        <w:t>. I</w:t>
      </w:r>
      <w:r w:rsidRPr="004621DC">
        <w:rPr>
          <w:rFonts w:ascii="Book Antiqua" w:eastAsia="Times New Roman" w:hAnsi="Book Antiqua" w:cs="Arial"/>
          <w:sz w:val="24"/>
        </w:rPr>
        <w:t xml:space="preserve">n </w:t>
      </w:r>
      <w:bookmarkStart w:id="0" w:name="_GoBack"/>
      <w:bookmarkEnd w:id="0"/>
      <w:r w:rsidR="00E8140F">
        <w:rPr>
          <w:rFonts w:ascii="Book Antiqua" w:eastAsia="Times New Roman" w:hAnsi="Book Antiqua" w:cs="Arial"/>
          <w:sz w:val="24"/>
        </w:rPr>
        <w:t xml:space="preserve">the </w:t>
      </w:r>
      <w:r w:rsidRPr="004621DC">
        <w:rPr>
          <w:rFonts w:ascii="Book Antiqua" w:eastAsia="Times New Roman" w:hAnsi="Book Antiqua" w:cs="Arial"/>
          <w:sz w:val="24"/>
        </w:rPr>
        <w:t>case of open contracts, revenue should be recognized as a principal.</w:t>
      </w:r>
    </w:p>
    <w:p w:rsidR="00F8264D" w:rsidRPr="00AF26B3" w:rsidRDefault="00E8140F" w:rsidP="00AF26B3">
      <w:pPr>
        <w:spacing w:before="100" w:beforeAutospacing="1" w:after="100" w:afterAutospacing="1"/>
        <w:jc w:val="both"/>
        <w:rPr>
          <w:rFonts w:ascii="Book Antiqua" w:eastAsia="Times New Roman" w:hAnsi="Book Antiqua" w:cs="Arial"/>
          <w:sz w:val="24"/>
        </w:rPr>
      </w:pPr>
      <w:hyperlink r:id="rId11" w:history="1">
        <w:r w:rsidR="00F8264D" w:rsidRPr="004621DC">
          <w:rPr>
            <w:rStyle w:val="Hyperlink"/>
            <w:rFonts w:ascii="Book Antiqua" w:eastAsia="Times New Roman" w:hAnsi="Book Antiqua" w:cs="Arial"/>
            <w:sz w:val="24"/>
          </w:rPr>
          <w:t>Read the Story</w:t>
        </w:r>
      </w:hyperlink>
    </w:p>
    <w:sectPr w:rsidR="00F8264D" w:rsidRPr="00AF2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D66"/>
    <w:multiLevelType w:val="hybridMultilevel"/>
    <w:tmpl w:val="8B5484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B457E86"/>
    <w:multiLevelType w:val="hybridMultilevel"/>
    <w:tmpl w:val="FE3A9652"/>
    <w:lvl w:ilvl="0" w:tplc="D3143BC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CA83C80"/>
    <w:multiLevelType w:val="hybridMultilevel"/>
    <w:tmpl w:val="70A29AFE"/>
    <w:lvl w:ilvl="0" w:tplc="B2D2A25E">
      <w:start w:val="1"/>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8644B6"/>
    <w:multiLevelType w:val="hybridMultilevel"/>
    <w:tmpl w:val="F0BE29BC"/>
    <w:lvl w:ilvl="0" w:tplc="65D4F2F2">
      <w:start w:val="1"/>
      <w:numFmt w:val="lowerLetter"/>
      <w:lvlText w:val="(%1)"/>
      <w:lvlJc w:val="left"/>
      <w:pPr>
        <w:ind w:left="360" w:hanging="360"/>
      </w:pPr>
      <w:rPr>
        <w:rFonts w:hint="default"/>
        <w:b w:val="0"/>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7251EEE"/>
    <w:multiLevelType w:val="hybridMultilevel"/>
    <w:tmpl w:val="8E28229E"/>
    <w:lvl w:ilvl="0" w:tplc="0986D63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94B04FE"/>
    <w:multiLevelType w:val="hybridMultilevel"/>
    <w:tmpl w:val="A0E63430"/>
    <w:lvl w:ilvl="0" w:tplc="8D800A44">
      <w:start w:val="1"/>
      <w:numFmt w:val="lowerLetter"/>
      <w:lvlText w:val="(%1)"/>
      <w:lvlJc w:val="left"/>
      <w:pPr>
        <w:ind w:left="360" w:hanging="360"/>
      </w:pPr>
      <w:rPr>
        <w:rFonts w:ascii="Book Antiqua" w:eastAsiaTheme="minorHAnsi" w:hAnsi="Book Antiqua" w:cstheme="minorBidi"/>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E9409E"/>
    <w:multiLevelType w:val="hybridMultilevel"/>
    <w:tmpl w:val="171E3376"/>
    <w:lvl w:ilvl="0" w:tplc="9ADEB106">
      <w:start w:val="1"/>
      <w:numFmt w:val="lowerLetter"/>
      <w:lvlText w:val="(%1)"/>
      <w:lvlJc w:val="left"/>
      <w:pPr>
        <w:ind w:left="360" w:hanging="360"/>
      </w:pPr>
      <w:rPr>
        <w:rFonts w:ascii="Book Antiqua" w:eastAsiaTheme="minorHAnsi" w:hAnsi="Book Antiqua" w:cstheme="minorBid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0FD40A4"/>
    <w:multiLevelType w:val="hybridMultilevel"/>
    <w:tmpl w:val="1EAAEBC4"/>
    <w:lvl w:ilvl="0" w:tplc="CCBCBD72">
      <w:start w:val="3"/>
      <w:numFmt w:val="bullet"/>
      <w:lvlText w:val="-"/>
      <w:lvlJc w:val="left"/>
      <w:pPr>
        <w:ind w:left="360" w:hanging="360"/>
      </w:pPr>
      <w:rPr>
        <w:rFonts w:ascii="Calibri" w:eastAsiaTheme="minorHAnsi"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25E630D8"/>
    <w:multiLevelType w:val="hybridMultilevel"/>
    <w:tmpl w:val="0E6A43BC"/>
    <w:lvl w:ilvl="0" w:tplc="F4785D9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ACA3E30"/>
    <w:multiLevelType w:val="hybridMultilevel"/>
    <w:tmpl w:val="ED4E6252"/>
    <w:lvl w:ilvl="0" w:tplc="0986D63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F9E6D2A"/>
    <w:multiLevelType w:val="hybridMultilevel"/>
    <w:tmpl w:val="5B3689DE"/>
    <w:lvl w:ilvl="0" w:tplc="DD5A801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03804CC"/>
    <w:multiLevelType w:val="hybridMultilevel"/>
    <w:tmpl w:val="6FD239D8"/>
    <w:lvl w:ilvl="0" w:tplc="0986D63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2E0132"/>
    <w:multiLevelType w:val="hybridMultilevel"/>
    <w:tmpl w:val="D30E7550"/>
    <w:lvl w:ilvl="0" w:tplc="1382C438">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1E14253"/>
    <w:multiLevelType w:val="hybridMultilevel"/>
    <w:tmpl w:val="2414753E"/>
    <w:lvl w:ilvl="0" w:tplc="285CC506">
      <w:start w:val="1"/>
      <w:numFmt w:val="decimal"/>
      <w:lvlText w:val="%1."/>
      <w:lvlJc w:val="left"/>
      <w:pPr>
        <w:ind w:left="360" w:hanging="360"/>
      </w:pPr>
      <w:rPr>
        <w:rFonts w:hint="default"/>
        <w:b/>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3A394D3D"/>
    <w:multiLevelType w:val="multilevel"/>
    <w:tmpl w:val="8D1C16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E7C5E8D"/>
    <w:multiLevelType w:val="hybridMultilevel"/>
    <w:tmpl w:val="26CA75C4"/>
    <w:lvl w:ilvl="0" w:tplc="18365166">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56742DF"/>
    <w:multiLevelType w:val="hybridMultilevel"/>
    <w:tmpl w:val="FA0646C6"/>
    <w:lvl w:ilvl="0" w:tplc="89980312">
      <w:start w:val="1"/>
      <w:numFmt w:val="decimal"/>
      <w:lvlText w:val="%1."/>
      <w:lvlJc w:val="left"/>
      <w:pPr>
        <w:ind w:left="360" w:hanging="360"/>
      </w:pPr>
      <w:rPr>
        <w:rFonts w:hint="default"/>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48A6505F"/>
    <w:multiLevelType w:val="hybridMultilevel"/>
    <w:tmpl w:val="02DE6128"/>
    <w:lvl w:ilvl="0" w:tplc="04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48A770C9"/>
    <w:multiLevelType w:val="hybridMultilevel"/>
    <w:tmpl w:val="1F7E89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0131EFC"/>
    <w:multiLevelType w:val="hybridMultilevel"/>
    <w:tmpl w:val="9BCA0864"/>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54279C8"/>
    <w:multiLevelType w:val="hybridMultilevel"/>
    <w:tmpl w:val="98EAF362"/>
    <w:lvl w:ilvl="0" w:tplc="90B045F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5E0243C9"/>
    <w:multiLevelType w:val="hybridMultilevel"/>
    <w:tmpl w:val="791239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E73978"/>
    <w:multiLevelType w:val="hybridMultilevel"/>
    <w:tmpl w:val="C81EAEB8"/>
    <w:lvl w:ilvl="0" w:tplc="0986D63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61F958C6"/>
    <w:multiLevelType w:val="hybridMultilevel"/>
    <w:tmpl w:val="9DEABE16"/>
    <w:lvl w:ilvl="0" w:tplc="C88C4856">
      <w:start w:val="1"/>
      <w:numFmt w:val="lowerLetter"/>
      <w:lvlText w:val="(%1)"/>
      <w:lvlJc w:val="left"/>
      <w:pPr>
        <w:ind w:left="360" w:hanging="360"/>
      </w:pPr>
      <w:rPr>
        <w:rFonts w:hint="default"/>
        <w:i/>
        <w:i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2D836DE"/>
    <w:multiLevelType w:val="hybridMultilevel"/>
    <w:tmpl w:val="F23EDF7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67591C35"/>
    <w:multiLevelType w:val="hybridMultilevel"/>
    <w:tmpl w:val="8BACEC16"/>
    <w:lvl w:ilvl="0" w:tplc="94366268">
      <w:start w:val="1"/>
      <w:numFmt w:val="lowerLetter"/>
      <w:lvlText w:val="(%1)"/>
      <w:lvlJc w:val="left"/>
      <w:pPr>
        <w:ind w:left="720" w:hanging="360"/>
      </w:pPr>
      <w:rPr>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5F6262"/>
    <w:multiLevelType w:val="hybridMultilevel"/>
    <w:tmpl w:val="1A2C6022"/>
    <w:lvl w:ilvl="0" w:tplc="94366268">
      <w:start w:val="1"/>
      <w:numFmt w:val="lowerLetter"/>
      <w:lvlText w:val="(%1)"/>
      <w:lvlJc w:val="left"/>
      <w:pPr>
        <w:ind w:left="360" w:hanging="36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104DC7"/>
    <w:multiLevelType w:val="hybridMultilevel"/>
    <w:tmpl w:val="613A7C8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6E550105"/>
    <w:multiLevelType w:val="hybridMultilevel"/>
    <w:tmpl w:val="6876F534"/>
    <w:lvl w:ilvl="0" w:tplc="4CE68CC8">
      <w:start w:val="1"/>
      <w:numFmt w:val="lowerLetter"/>
      <w:lvlText w:val="(%1)"/>
      <w:lvlJc w:val="left"/>
      <w:pPr>
        <w:ind w:left="720" w:hanging="360"/>
      </w:pPr>
      <w:rPr>
        <w:rFonts w:ascii="Book Antiqua" w:eastAsiaTheme="minorHAnsi" w:hAnsi="Book Antiqua" w:cstheme="minorBidi"/>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E0596"/>
    <w:multiLevelType w:val="hybridMultilevel"/>
    <w:tmpl w:val="D63EB0E6"/>
    <w:lvl w:ilvl="0" w:tplc="0986D63C">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30" w15:restartNumberingAfterBreak="0">
    <w:nsid w:val="73695F57"/>
    <w:multiLevelType w:val="hybridMultilevel"/>
    <w:tmpl w:val="C51C643A"/>
    <w:lvl w:ilvl="0" w:tplc="A21A6298">
      <w:start w:val="1"/>
      <w:numFmt w:val="lowerLetter"/>
      <w:lvlText w:val="(%1)"/>
      <w:lvlJc w:val="left"/>
      <w:pPr>
        <w:ind w:left="360" w:hanging="360"/>
      </w:pPr>
      <w:rPr>
        <w:rFonts w:ascii="Book Antiqua" w:eastAsiaTheme="minorHAnsi" w:hAnsi="Book Antiqua" w:cstheme="minorBid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745120AC"/>
    <w:multiLevelType w:val="hybridMultilevel"/>
    <w:tmpl w:val="B338EBA0"/>
    <w:lvl w:ilvl="0" w:tplc="D8EEAF32">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78396952"/>
    <w:multiLevelType w:val="hybridMultilevel"/>
    <w:tmpl w:val="6026254E"/>
    <w:lvl w:ilvl="0" w:tplc="33AEE2C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78DE1D61"/>
    <w:multiLevelType w:val="hybridMultilevel"/>
    <w:tmpl w:val="9AE603EA"/>
    <w:lvl w:ilvl="0" w:tplc="767AA880">
      <w:start w:val="1"/>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97969B0"/>
    <w:multiLevelType w:val="hybridMultilevel"/>
    <w:tmpl w:val="0D408F8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79F91128"/>
    <w:multiLevelType w:val="hybridMultilevel"/>
    <w:tmpl w:val="51824F3E"/>
    <w:lvl w:ilvl="0" w:tplc="4DC26D2C">
      <w:start w:val="1"/>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B9F516A"/>
    <w:multiLevelType w:val="hybridMultilevel"/>
    <w:tmpl w:val="493AA8E2"/>
    <w:lvl w:ilvl="0" w:tplc="739C88E2">
      <w:start w:val="1"/>
      <w:numFmt w:val="lowerLetter"/>
      <w:lvlText w:val="(%1)"/>
      <w:lvlJc w:val="left"/>
      <w:pPr>
        <w:ind w:left="360" w:hanging="360"/>
      </w:pPr>
      <w:rPr>
        <w:rFonts w:hint="default"/>
        <w:i/>
        <w:i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7BCE65E3"/>
    <w:multiLevelType w:val="hybridMultilevel"/>
    <w:tmpl w:val="0C12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556B9"/>
    <w:multiLevelType w:val="hybridMultilevel"/>
    <w:tmpl w:val="6A64DA4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0"/>
  </w:num>
  <w:num w:numId="2">
    <w:abstractNumId w:val="14"/>
  </w:num>
  <w:num w:numId="3">
    <w:abstractNumId w:val="28"/>
  </w:num>
  <w:num w:numId="4">
    <w:abstractNumId w:val="5"/>
  </w:num>
  <w:num w:numId="5">
    <w:abstractNumId w:val="27"/>
  </w:num>
  <w:num w:numId="6">
    <w:abstractNumId w:val="6"/>
  </w:num>
  <w:num w:numId="7">
    <w:abstractNumId w:val="31"/>
  </w:num>
  <w:num w:numId="8">
    <w:abstractNumId w:val="38"/>
  </w:num>
  <w:num w:numId="9">
    <w:abstractNumId w:val="10"/>
  </w:num>
  <w:num w:numId="10">
    <w:abstractNumId w:val="32"/>
  </w:num>
  <w:num w:numId="11">
    <w:abstractNumId w:val="37"/>
  </w:num>
  <w:num w:numId="12">
    <w:abstractNumId w:val="34"/>
  </w:num>
  <w:num w:numId="13">
    <w:abstractNumId w:val="33"/>
  </w:num>
  <w:num w:numId="14">
    <w:abstractNumId w:val="19"/>
  </w:num>
  <w:num w:numId="15">
    <w:abstractNumId w:val="2"/>
  </w:num>
  <w:num w:numId="16">
    <w:abstractNumId w:val="35"/>
  </w:num>
  <w:num w:numId="17">
    <w:abstractNumId w:val="20"/>
  </w:num>
  <w:num w:numId="18">
    <w:abstractNumId w:val="4"/>
  </w:num>
  <w:num w:numId="19">
    <w:abstractNumId w:val="7"/>
  </w:num>
  <w:num w:numId="20">
    <w:abstractNumId w:val="24"/>
  </w:num>
  <w:num w:numId="21">
    <w:abstractNumId w:val="22"/>
  </w:num>
  <w:num w:numId="22">
    <w:abstractNumId w:val="23"/>
  </w:num>
  <w:num w:numId="23">
    <w:abstractNumId w:val="12"/>
  </w:num>
  <w:num w:numId="24">
    <w:abstractNumId w:val="36"/>
  </w:num>
  <w:num w:numId="25">
    <w:abstractNumId w:val="18"/>
  </w:num>
  <w:num w:numId="26">
    <w:abstractNumId w:val="8"/>
  </w:num>
  <w:num w:numId="27">
    <w:abstractNumId w:val="16"/>
  </w:num>
  <w:num w:numId="28">
    <w:abstractNumId w:val="15"/>
  </w:num>
  <w:num w:numId="29">
    <w:abstractNumId w:val="17"/>
  </w:num>
  <w:num w:numId="30">
    <w:abstractNumId w:val="26"/>
  </w:num>
  <w:num w:numId="31">
    <w:abstractNumId w:val="3"/>
  </w:num>
  <w:num w:numId="32">
    <w:abstractNumId w:val="21"/>
  </w:num>
  <w:num w:numId="33">
    <w:abstractNumId w:val="0"/>
  </w:num>
  <w:num w:numId="34">
    <w:abstractNumId w:val="29"/>
  </w:num>
  <w:num w:numId="35">
    <w:abstractNumId w:val="11"/>
  </w:num>
  <w:num w:numId="36">
    <w:abstractNumId w:val="13"/>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yNDcyMjW3NDQzNTVV0lEKTi0uzszPAykwMqgFAANy5a8tAAAA"/>
  </w:docVars>
  <w:rsids>
    <w:rsidRoot w:val="002819DF"/>
    <w:rsid w:val="00004458"/>
    <w:rsid w:val="00004493"/>
    <w:rsid w:val="0000589D"/>
    <w:rsid w:val="00005ACA"/>
    <w:rsid w:val="00015798"/>
    <w:rsid w:val="00020F07"/>
    <w:rsid w:val="00022AAE"/>
    <w:rsid w:val="00026EE5"/>
    <w:rsid w:val="00030402"/>
    <w:rsid w:val="00032666"/>
    <w:rsid w:val="0003273F"/>
    <w:rsid w:val="00032DA7"/>
    <w:rsid w:val="0003656C"/>
    <w:rsid w:val="0004091B"/>
    <w:rsid w:val="000438F3"/>
    <w:rsid w:val="00043FC0"/>
    <w:rsid w:val="00050CD6"/>
    <w:rsid w:val="00053D7B"/>
    <w:rsid w:val="00057691"/>
    <w:rsid w:val="0006403C"/>
    <w:rsid w:val="00064F99"/>
    <w:rsid w:val="00074640"/>
    <w:rsid w:val="00077F86"/>
    <w:rsid w:val="00083534"/>
    <w:rsid w:val="00083879"/>
    <w:rsid w:val="0008478E"/>
    <w:rsid w:val="00084CFB"/>
    <w:rsid w:val="00085780"/>
    <w:rsid w:val="000904DD"/>
    <w:rsid w:val="000A0582"/>
    <w:rsid w:val="000A7869"/>
    <w:rsid w:val="000B2C4C"/>
    <w:rsid w:val="000B63DF"/>
    <w:rsid w:val="000B6903"/>
    <w:rsid w:val="000D2BF8"/>
    <w:rsid w:val="000D344D"/>
    <w:rsid w:val="000D5E42"/>
    <w:rsid w:val="000D71DF"/>
    <w:rsid w:val="000D790B"/>
    <w:rsid w:val="000E00A4"/>
    <w:rsid w:val="000E010C"/>
    <w:rsid w:val="000E7959"/>
    <w:rsid w:val="000F1A09"/>
    <w:rsid w:val="000F2276"/>
    <w:rsid w:val="000F6985"/>
    <w:rsid w:val="0010207A"/>
    <w:rsid w:val="00103539"/>
    <w:rsid w:val="001044F0"/>
    <w:rsid w:val="00104AFD"/>
    <w:rsid w:val="00115722"/>
    <w:rsid w:val="00115EAB"/>
    <w:rsid w:val="00121DD9"/>
    <w:rsid w:val="00124428"/>
    <w:rsid w:val="00127432"/>
    <w:rsid w:val="00131507"/>
    <w:rsid w:val="00134B70"/>
    <w:rsid w:val="0015069A"/>
    <w:rsid w:val="00157C71"/>
    <w:rsid w:val="00162ACB"/>
    <w:rsid w:val="0018463B"/>
    <w:rsid w:val="00185F70"/>
    <w:rsid w:val="00186FC3"/>
    <w:rsid w:val="001879F5"/>
    <w:rsid w:val="0019159F"/>
    <w:rsid w:val="001A03AF"/>
    <w:rsid w:val="001A6600"/>
    <w:rsid w:val="001B3389"/>
    <w:rsid w:val="001B6E3D"/>
    <w:rsid w:val="001B7510"/>
    <w:rsid w:val="001C629D"/>
    <w:rsid w:val="001D1434"/>
    <w:rsid w:val="001E27C5"/>
    <w:rsid w:val="001E2ED2"/>
    <w:rsid w:val="001E5882"/>
    <w:rsid w:val="001E5D42"/>
    <w:rsid w:val="001F21F7"/>
    <w:rsid w:val="001F45E5"/>
    <w:rsid w:val="001F73CC"/>
    <w:rsid w:val="00201C17"/>
    <w:rsid w:val="00202660"/>
    <w:rsid w:val="00204216"/>
    <w:rsid w:val="00227146"/>
    <w:rsid w:val="00232336"/>
    <w:rsid w:val="00237C3F"/>
    <w:rsid w:val="00241EA9"/>
    <w:rsid w:val="0024281A"/>
    <w:rsid w:val="00242C97"/>
    <w:rsid w:val="00244AA4"/>
    <w:rsid w:val="002511E6"/>
    <w:rsid w:val="00252E82"/>
    <w:rsid w:val="00255592"/>
    <w:rsid w:val="0026178D"/>
    <w:rsid w:val="00263CFE"/>
    <w:rsid w:val="0026427F"/>
    <w:rsid w:val="002736F0"/>
    <w:rsid w:val="0028189D"/>
    <w:rsid w:val="002819DF"/>
    <w:rsid w:val="00283E54"/>
    <w:rsid w:val="00284FA9"/>
    <w:rsid w:val="002A0C89"/>
    <w:rsid w:val="002A3E69"/>
    <w:rsid w:val="002B097E"/>
    <w:rsid w:val="002B1209"/>
    <w:rsid w:val="002B3B0B"/>
    <w:rsid w:val="002B3F0A"/>
    <w:rsid w:val="002C17F1"/>
    <w:rsid w:val="002C4248"/>
    <w:rsid w:val="002C48BC"/>
    <w:rsid w:val="002C7C12"/>
    <w:rsid w:val="002D53F2"/>
    <w:rsid w:val="002D61E5"/>
    <w:rsid w:val="002E1E6A"/>
    <w:rsid w:val="002E4582"/>
    <w:rsid w:val="002E582D"/>
    <w:rsid w:val="002E7ED7"/>
    <w:rsid w:val="002F1EBD"/>
    <w:rsid w:val="002F3624"/>
    <w:rsid w:val="0030184E"/>
    <w:rsid w:val="00301AEB"/>
    <w:rsid w:val="0030581B"/>
    <w:rsid w:val="00307D69"/>
    <w:rsid w:val="0031644A"/>
    <w:rsid w:val="00333885"/>
    <w:rsid w:val="0034546B"/>
    <w:rsid w:val="00347F37"/>
    <w:rsid w:val="00352FAB"/>
    <w:rsid w:val="003635FA"/>
    <w:rsid w:val="00364529"/>
    <w:rsid w:val="003659F3"/>
    <w:rsid w:val="00372E21"/>
    <w:rsid w:val="00376809"/>
    <w:rsid w:val="003820CD"/>
    <w:rsid w:val="003855A4"/>
    <w:rsid w:val="003865C5"/>
    <w:rsid w:val="0039253F"/>
    <w:rsid w:val="003A243E"/>
    <w:rsid w:val="003A2DA6"/>
    <w:rsid w:val="003A3724"/>
    <w:rsid w:val="003B1861"/>
    <w:rsid w:val="003C3625"/>
    <w:rsid w:val="003C6B82"/>
    <w:rsid w:val="003D0052"/>
    <w:rsid w:val="003D1EAD"/>
    <w:rsid w:val="003D372C"/>
    <w:rsid w:val="003D591C"/>
    <w:rsid w:val="003D69AA"/>
    <w:rsid w:val="003E6EA2"/>
    <w:rsid w:val="003E7616"/>
    <w:rsid w:val="003E7C84"/>
    <w:rsid w:val="003F248A"/>
    <w:rsid w:val="003F7907"/>
    <w:rsid w:val="00401342"/>
    <w:rsid w:val="00415299"/>
    <w:rsid w:val="00417786"/>
    <w:rsid w:val="004312C2"/>
    <w:rsid w:val="00432719"/>
    <w:rsid w:val="00437340"/>
    <w:rsid w:val="00441953"/>
    <w:rsid w:val="004419A1"/>
    <w:rsid w:val="00443D81"/>
    <w:rsid w:val="0044481B"/>
    <w:rsid w:val="004463FC"/>
    <w:rsid w:val="004472C4"/>
    <w:rsid w:val="00451BA4"/>
    <w:rsid w:val="0045490A"/>
    <w:rsid w:val="00454AD1"/>
    <w:rsid w:val="004578A6"/>
    <w:rsid w:val="004621DC"/>
    <w:rsid w:val="00464388"/>
    <w:rsid w:val="00467031"/>
    <w:rsid w:val="00472D9C"/>
    <w:rsid w:val="00472FAE"/>
    <w:rsid w:val="00476762"/>
    <w:rsid w:val="00477AFA"/>
    <w:rsid w:val="00484535"/>
    <w:rsid w:val="00490557"/>
    <w:rsid w:val="004907EF"/>
    <w:rsid w:val="00491AA7"/>
    <w:rsid w:val="004A24D0"/>
    <w:rsid w:val="004A2734"/>
    <w:rsid w:val="004A27F9"/>
    <w:rsid w:val="004A3189"/>
    <w:rsid w:val="004A3809"/>
    <w:rsid w:val="004B2E35"/>
    <w:rsid w:val="004B634C"/>
    <w:rsid w:val="004B7239"/>
    <w:rsid w:val="004C5BA2"/>
    <w:rsid w:val="004C677E"/>
    <w:rsid w:val="004D28E6"/>
    <w:rsid w:val="004D49E5"/>
    <w:rsid w:val="004F53A4"/>
    <w:rsid w:val="004F6018"/>
    <w:rsid w:val="0050042D"/>
    <w:rsid w:val="00501930"/>
    <w:rsid w:val="00510E7B"/>
    <w:rsid w:val="00512D87"/>
    <w:rsid w:val="00515799"/>
    <w:rsid w:val="00517DCF"/>
    <w:rsid w:val="0052356B"/>
    <w:rsid w:val="00531758"/>
    <w:rsid w:val="00532B9A"/>
    <w:rsid w:val="00533117"/>
    <w:rsid w:val="00534F0A"/>
    <w:rsid w:val="0053590D"/>
    <w:rsid w:val="0053776D"/>
    <w:rsid w:val="00537D36"/>
    <w:rsid w:val="005403B3"/>
    <w:rsid w:val="00542C01"/>
    <w:rsid w:val="00544630"/>
    <w:rsid w:val="005474D2"/>
    <w:rsid w:val="005578C0"/>
    <w:rsid w:val="00557D67"/>
    <w:rsid w:val="005646EA"/>
    <w:rsid w:val="0058027C"/>
    <w:rsid w:val="00583BBA"/>
    <w:rsid w:val="00586F98"/>
    <w:rsid w:val="005871E0"/>
    <w:rsid w:val="00591E6C"/>
    <w:rsid w:val="0059237B"/>
    <w:rsid w:val="00592CF5"/>
    <w:rsid w:val="00593F56"/>
    <w:rsid w:val="005957C5"/>
    <w:rsid w:val="005A0CCC"/>
    <w:rsid w:val="005A3048"/>
    <w:rsid w:val="005A57C0"/>
    <w:rsid w:val="005A58D5"/>
    <w:rsid w:val="005A5B32"/>
    <w:rsid w:val="005B0D47"/>
    <w:rsid w:val="005B41C9"/>
    <w:rsid w:val="005B6AA6"/>
    <w:rsid w:val="005C6D81"/>
    <w:rsid w:val="005D1C03"/>
    <w:rsid w:val="005D6B9B"/>
    <w:rsid w:val="005D779D"/>
    <w:rsid w:val="005E048A"/>
    <w:rsid w:val="005E1ABB"/>
    <w:rsid w:val="005F072C"/>
    <w:rsid w:val="005F3A7B"/>
    <w:rsid w:val="006074CD"/>
    <w:rsid w:val="0061195D"/>
    <w:rsid w:val="00622920"/>
    <w:rsid w:val="006236F8"/>
    <w:rsid w:val="00632C2A"/>
    <w:rsid w:val="00633312"/>
    <w:rsid w:val="00642FC9"/>
    <w:rsid w:val="0064382C"/>
    <w:rsid w:val="00651950"/>
    <w:rsid w:val="00654C3C"/>
    <w:rsid w:val="006555A3"/>
    <w:rsid w:val="00657397"/>
    <w:rsid w:val="00665E51"/>
    <w:rsid w:val="006666B1"/>
    <w:rsid w:val="006667D9"/>
    <w:rsid w:val="00667F75"/>
    <w:rsid w:val="006709EA"/>
    <w:rsid w:val="00673DB0"/>
    <w:rsid w:val="006748A4"/>
    <w:rsid w:val="00684F8D"/>
    <w:rsid w:val="00687CD9"/>
    <w:rsid w:val="00693434"/>
    <w:rsid w:val="006A0608"/>
    <w:rsid w:val="006A7A0C"/>
    <w:rsid w:val="006B16F8"/>
    <w:rsid w:val="006B31A6"/>
    <w:rsid w:val="006B32E5"/>
    <w:rsid w:val="006B5CE2"/>
    <w:rsid w:val="006B61C7"/>
    <w:rsid w:val="006C18B9"/>
    <w:rsid w:val="006C2A37"/>
    <w:rsid w:val="006D2532"/>
    <w:rsid w:val="006D4503"/>
    <w:rsid w:val="006D4F4C"/>
    <w:rsid w:val="006E0464"/>
    <w:rsid w:val="006E1C83"/>
    <w:rsid w:val="006E4CDA"/>
    <w:rsid w:val="006E64EA"/>
    <w:rsid w:val="006F052C"/>
    <w:rsid w:val="006F0E47"/>
    <w:rsid w:val="0070076B"/>
    <w:rsid w:val="00703AAD"/>
    <w:rsid w:val="00711925"/>
    <w:rsid w:val="00712F32"/>
    <w:rsid w:val="00717966"/>
    <w:rsid w:val="00722727"/>
    <w:rsid w:val="00724A61"/>
    <w:rsid w:val="00724AF3"/>
    <w:rsid w:val="0073010A"/>
    <w:rsid w:val="00731808"/>
    <w:rsid w:val="007344F1"/>
    <w:rsid w:val="00736112"/>
    <w:rsid w:val="007401FF"/>
    <w:rsid w:val="0074020F"/>
    <w:rsid w:val="00740CA7"/>
    <w:rsid w:val="007444D0"/>
    <w:rsid w:val="00756296"/>
    <w:rsid w:val="00762DA5"/>
    <w:rsid w:val="00763AB8"/>
    <w:rsid w:val="00786E69"/>
    <w:rsid w:val="00792320"/>
    <w:rsid w:val="0079565B"/>
    <w:rsid w:val="007A146B"/>
    <w:rsid w:val="007C53A2"/>
    <w:rsid w:val="007D4419"/>
    <w:rsid w:val="007D73A4"/>
    <w:rsid w:val="007E355B"/>
    <w:rsid w:val="007F4335"/>
    <w:rsid w:val="007F6E25"/>
    <w:rsid w:val="00803D31"/>
    <w:rsid w:val="0080620C"/>
    <w:rsid w:val="00810F2C"/>
    <w:rsid w:val="00815FED"/>
    <w:rsid w:val="008255A1"/>
    <w:rsid w:val="0083014E"/>
    <w:rsid w:val="00834807"/>
    <w:rsid w:val="00836354"/>
    <w:rsid w:val="00845B0E"/>
    <w:rsid w:val="00853D3E"/>
    <w:rsid w:val="008561E3"/>
    <w:rsid w:val="00856E73"/>
    <w:rsid w:val="00861404"/>
    <w:rsid w:val="00865CA7"/>
    <w:rsid w:val="008765A6"/>
    <w:rsid w:val="00882E7D"/>
    <w:rsid w:val="00885F9A"/>
    <w:rsid w:val="008862F1"/>
    <w:rsid w:val="008877B6"/>
    <w:rsid w:val="00896B06"/>
    <w:rsid w:val="008A74CA"/>
    <w:rsid w:val="008B13DF"/>
    <w:rsid w:val="008B1A50"/>
    <w:rsid w:val="008C24F4"/>
    <w:rsid w:val="008C57D8"/>
    <w:rsid w:val="008C67CD"/>
    <w:rsid w:val="008C7D0E"/>
    <w:rsid w:val="008E12D8"/>
    <w:rsid w:val="008E40F4"/>
    <w:rsid w:val="008E493E"/>
    <w:rsid w:val="008E6D90"/>
    <w:rsid w:val="008F1842"/>
    <w:rsid w:val="008F1879"/>
    <w:rsid w:val="00904861"/>
    <w:rsid w:val="00907413"/>
    <w:rsid w:val="00914019"/>
    <w:rsid w:val="009161E1"/>
    <w:rsid w:val="00917047"/>
    <w:rsid w:val="009237AA"/>
    <w:rsid w:val="009269AA"/>
    <w:rsid w:val="00942158"/>
    <w:rsid w:val="00956D84"/>
    <w:rsid w:val="009631BF"/>
    <w:rsid w:val="00972692"/>
    <w:rsid w:val="00981132"/>
    <w:rsid w:val="0098628B"/>
    <w:rsid w:val="00995D21"/>
    <w:rsid w:val="009B58C9"/>
    <w:rsid w:val="009B74EA"/>
    <w:rsid w:val="009C3816"/>
    <w:rsid w:val="009C520C"/>
    <w:rsid w:val="009C55FA"/>
    <w:rsid w:val="009D6741"/>
    <w:rsid w:val="009D7E7A"/>
    <w:rsid w:val="009F7F4B"/>
    <w:rsid w:val="00A05014"/>
    <w:rsid w:val="00A07004"/>
    <w:rsid w:val="00A111E6"/>
    <w:rsid w:val="00A17A7A"/>
    <w:rsid w:val="00A240CB"/>
    <w:rsid w:val="00A2475A"/>
    <w:rsid w:val="00A27A1F"/>
    <w:rsid w:val="00A30520"/>
    <w:rsid w:val="00A33381"/>
    <w:rsid w:val="00A36118"/>
    <w:rsid w:val="00A47A43"/>
    <w:rsid w:val="00A53DFE"/>
    <w:rsid w:val="00A62297"/>
    <w:rsid w:val="00A661F7"/>
    <w:rsid w:val="00A71DBF"/>
    <w:rsid w:val="00A76A9E"/>
    <w:rsid w:val="00A8005C"/>
    <w:rsid w:val="00A83555"/>
    <w:rsid w:val="00A86D0E"/>
    <w:rsid w:val="00A9438F"/>
    <w:rsid w:val="00A96CA1"/>
    <w:rsid w:val="00A96EE4"/>
    <w:rsid w:val="00A975FE"/>
    <w:rsid w:val="00AA49A8"/>
    <w:rsid w:val="00AB15E7"/>
    <w:rsid w:val="00AB3D6B"/>
    <w:rsid w:val="00AB6272"/>
    <w:rsid w:val="00AB70BA"/>
    <w:rsid w:val="00AC14CF"/>
    <w:rsid w:val="00AC24CF"/>
    <w:rsid w:val="00AC38DC"/>
    <w:rsid w:val="00AC4CE3"/>
    <w:rsid w:val="00AC4FD7"/>
    <w:rsid w:val="00AD173D"/>
    <w:rsid w:val="00AE63A0"/>
    <w:rsid w:val="00AF26B3"/>
    <w:rsid w:val="00AF6B89"/>
    <w:rsid w:val="00B035B4"/>
    <w:rsid w:val="00B0407F"/>
    <w:rsid w:val="00B04254"/>
    <w:rsid w:val="00B0537F"/>
    <w:rsid w:val="00B05A99"/>
    <w:rsid w:val="00B1079B"/>
    <w:rsid w:val="00B13294"/>
    <w:rsid w:val="00B15BB4"/>
    <w:rsid w:val="00B172C1"/>
    <w:rsid w:val="00B23F4A"/>
    <w:rsid w:val="00B25F2B"/>
    <w:rsid w:val="00B27F1C"/>
    <w:rsid w:val="00B30AED"/>
    <w:rsid w:val="00B32F44"/>
    <w:rsid w:val="00B33F2E"/>
    <w:rsid w:val="00B35617"/>
    <w:rsid w:val="00B35AB0"/>
    <w:rsid w:val="00B41A0F"/>
    <w:rsid w:val="00B44A6E"/>
    <w:rsid w:val="00B46E11"/>
    <w:rsid w:val="00B514B3"/>
    <w:rsid w:val="00B523C0"/>
    <w:rsid w:val="00B5265B"/>
    <w:rsid w:val="00B631BA"/>
    <w:rsid w:val="00B63BAD"/>
    <w:rsid w:val="00B73470"/>
    <w:rsid w:val="00B777B9"/>
    <w:rsid w:val="00B80B9B"/>
    <w:rsid w:val="00B8329D"/>
    <w:rsid w:val="00B926AA"/>
    <w:rsid w:val="00B94B71"/>
    <w:rsid w:val="00BA013E"/>
    <w:rsid w:val="00BB1678"/>
    <w:rsid w:val="00BB225E"/>
    <w:rsid w:val="00BB22C5"/>
    <w:rsid w:val="00BC16E6"/>
    <w:rsid w:val="00BC3A18"/>
    <w:rsid w:val="00BC4CB1"/>
    <w:rsid w:val="00BC6AC7"/>
    <w:rsid w:val="00BD042E"/>
    <w:rsid w:val="00BD2C23"/>
    <w:rsid w:val="00BD36A7"/>
    <w:rsid w:val="00BE0DF5"/>
    <w:rsid w:val="00BE6B46"/>
    <w:rsid w:val="00BF3050"/>
    <w:rsid w:val="00C04A13"/>
    <w:rsid w:val="00C15D01"/>
    <w:rsid w:val="00C165B2"/>
    <w:rsid w:val="00C17B3A"/>
    <w:rsid w:val="00C335EA"/>
    <w:rsid w:val="00C41B0B"/>
    <w:rsid w:val="00C50196"/>
    <w:rsid w:val="00C62E35"/>
    <w:rsid w:val="00C66AF7"/>
    <w:rsid w:val="00C71AFA"/>
    <w:rsid w:val="00C7631F"/>
    <w:rsid w:val="00C7637E"/>
    <w:rsid w:val="00C778A4"/>
    <w:rsid w:val="00C8079F"/>
    <w:rsid w:val="00C955CE"/>
    <w:rsid w:val="00CA1298"/>
    <w:rsid w:val="00CA7D1D"/>
    <w:rsid w:val="00CB20BB"/>
    <w:rsid w:val="00CB6938"/>
    <w:rsid w:val="00CC42D0"/>
    <w:rsid w:val="00CC7D35"/>
    <w:rsid w:val="00CD06FB"/>
    <w:rsid w:val="00CD5170"/>
    <w:rsid w:val="00CD69CB"/>
    <w:rsid w:val="00CE3A7E"/>
    <w:rsid w:val="00CF0AC2"/>
    <w:rsid w:val="00CF418A"/>
    <w:rsid w:val="00CF4995"/>
    <w:rsid w:val="00D073AC"/>
    <w:rsid w:val="00D0777C"/>
    <w:rsid w:val="00D07C9F"/>
    <w:rsid w:val="00D1052A"/>
    <w:rsid w:val="00D11BC1"/>
    <w:rsid w:val="00D1388A"/>
    <w:rsid w:val="00D13B3F"/>
    <w:rsid w:val="00D16896"/>
    <w:rsid w:val="00D21D5B"/>
    <w:rsid w:val="00D30748"/>
    <w:rsid w:val="00D33391"/>
    <w:rsid w:val="00D33AA1"/>
    <w:rsid w:val="00D36954"/>
    <w:rsid w:val="00D41100"/>
    <w:rsid w:val="00D43252"/>
    <w:rsid w:val="00D466C2"/>
    <w:rsid w:val="00D506C0"/>
    <w:rsid w:val="00D50FE3"/>
    <w:rsid w:val="00D54B7D"/>
    <w:rsid w:val="00D600BE"/>
    <w:rsid w:val="00D60295"/>
    <w:rsid w:val="00D73A1A"/>
    <w:rsid w:val="00D820F0"/>
    <w:rsid w:val="00D82A7A"/>
    <w:rsid w:val="00D833BB"/>
    <w:rsid w:val="00D83933"/>
    <w:rsid w:val="00D854DC"/>
    <w:rsid w:val="00DA1409"/>
    <w:rsid w:val="00DA2DAE"/>
    <w:rsid w:val="00DA2E5A"/>
    <w:rsid w:val="00DB0CAD"/>
    <w:rsid w:val="00DB4F1B"/>
    <w:rsid w:val="00DB7CE2"/>
    <w:rsid w:val="00DC2504"/>
    <w:rsid w:val="00DC6B29"/>
    <w:rsid w:val="00DC6D5A"/>
    <w:rsid w:val="00DD2898"/>
    <w:rsid w:val="00DE76DA"/>
    <w:rsid w:val="00DF7C12"/>
    <w:rsid w:val="00DF7D2C"/>
    <w:rsid w:val="00E016C3"/>
    <w:rsid w:val="00E02475"/>
    <w:rsid w:val="00E040DE"/>
    <w:rsid w:val="00E040E1"/>
    <w:rsid w:val="00E103C8"/>
    <w:rsid w:val="00E15992"/>
    <w:rsid w:val="00E24DE4"/>
    <w:rsid w:val="00E318E1"/>
    <w:rsid w:val="00E325A5"/>
    <w:rsid w:val="00E42ED9"/>
    <w:rsid w:val="00E440E0"/>
    <w:rsid w:val="00E520D3"/>
    <w:rsid w:val="00E526CE"/>
    <w:rsid w:val="00E57CD1"/>
    <w:rsid w:val="00E6015F"/>
    <w:rsid w:val="00E650A5"/>
    <w:rsid w:val="00E75535"/>
    <w:rsid w:val="00E755FA"/>
    <w:rsid w:val="00E8140F"/>
    <w:rsid w:val="00E81802"/>
    <w:rsid w:val="00E86A71"/>
    <w:rsid w:val="00E91E3C"/>
    <w:rsid w:val="00EB0287"/>
    <w:rsid w:val="00EB2721"/>
    <w:rsid w:val="00EC4196"/>
    <w:rsid w:val="00ED6861"/>
    <w:rsid w:val="00EE050A"/>
    <w:rsid w:val="00EE4496"/>
    <w:rsid w:val="00EF5A4F"/>
    <w:rsid w:val="00EF7FAB"/>
    <w:rsid w:val="00F0147C"/>
    <w:rsid w:val="00F019C1"/>
    <w:rsid w:val="00F03510"/>
    <w:rsid w:val="00F0671A"/>
    <w:rsid w:val="00F16606"/>
    <w:rsid w:val="00F16B1D"/>
    <w:rsid w:val="00F24B12"/>
    <w:rsid w:val="00F3125E"/>
    <w:rsid w:val="00F31788"/>
    <w:rsid w:val="00F32E82"/>
    <w:rsid w:val="00F35783"/>
    <w:rsid w:val="00F402A3"/>
    <w:rsid w:val="00F40E32"/>
    <w:rsid w:val="00F439B2"/>
    <w:rsid w:val="00F50FF4"/>
    <w:rsid w:val="00F75C1F"/>
    <w:rsid w:val="00F8264D"/>
    <w:rsid w:val="00F82F63"/>
    <w:rsid w:val="00F834C2"/>
    <w:rsid w:val="00F87DDC"/>
    <w:rsid w:val="00F9033E"/>
    <w:rsid w:val="00F90B60"/>
    <w:rsid w:val="00F94210"/>
    <w:rsid w:val="00F94D82"/>
    <w:rsid w:val="00FA1FAE"/>
    <w:rsid w:val="00FB0DB6"/>
    <w:rsid w:val="00FB1D60"/>
    <w:rsid w:val="00FB5972"/>
    <w:rsid w:val="00FB5BB2"/>
    <w:rsid w:val="00FC1712"/>
    <w:rsid w:val="00FC18F1"/>
    <w:rsid w:val="00FD2151"/>
    <w:rsid w:val="00FD7469"/>
    <w:rsid w:val="00FF5519"/>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23C5"/>
  <w15:docId w15:val="{189D652D-F640-4E51-8F95-ACA47E1B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1C"/>
    <w:pPr>
      <w:spacing w:after="160" w:line="259" w:lineRule="auto"/>
    </w:pPr>
    <w:rPr>
      <w:lang w:val="en-IN"/>
    </w:rPr>
  </w:style>
  <w:style w:type="paragraph" w:styleId="Heading2">
    <w:name w:val="heading 2"/>
    <w:basedOn w:val="Normal"/>
    <w:link w:val="Heading2Char"/>
    <w:uiPriority w:val="9"/>
    <w:qFormat/>
    <w:rsid w:val="00B35AB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9DF"/>
    <w:rPr>
      <w:color w:val="0000FF"/>
      <w:u w:val="single"/>
    </w:rPr>
  </w:style>
  <w:style w:type="paragraph" w:styleId="ListParagraph">
    <w:name w:val="List Paragraph"/>
    <w:basedOn w:val="Normal"/>
    <w:link w:val="ListParagraphChar"/>
    <w:uiPriority w:val="34"/>
    <w:qFormat/>
    <w:rsid w:val="00476762"/>
    <w:pPr>
      <w:ind w:left="720"/>
      <w:contextualSpacing/>
    </w:pPr>
  </w:style>
  <w:style w:type="character" w:styleId="Emphasis">
    <w:name w:val="Emphasis"/>
    <w:basedOn w:val="DefaultParagraphFont"/>
    <w:uiPriority w:val="20"/>
    <w:qFormat/>
    <w:rsid w:val="00F87DDC"/>
    <w:rPr>
      <w:i/>
      <w:iCs/>
    </w:rPr>
  </w:style>
  <w:style w:type="paragraph" w:styleId="NormalWeb">
    <w:name w:val="Normal (Web)"/>
    <w:basedOn w:val="Normal"/>
    <w:uiPriority w:val="99"/>
    <w:unhideWhenUsed/>
    <w:rsid w:val="00F87D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87DDC"/>
    <w:rPr>
      <w:b/>
      <w:bCs/>
    </w:rPr>
  </w:style>
  <w:style w:type="paragraph" w:styleId="NoSpacing">
    <w:name w:val="No Spacing"/>
    <w:uiPriority w:val="1"/>
    <w:qFormat/>
    <w:rsid w:val="00722727"/>
    <w:pPr>
      <w:spacing w:after="0" w:line="240" w:lineRule="auto"/>
    </w:pPr>
    <w:rPr>
      <w:lang w:val="en-IN"/>
    </w:rPr>
  </w:style>
  <w:style w:type="character" w:customStyle="1" w:styleId="researchdochighlight">
    <w:name w:val="researchdochighlight"/>
    <w:basedOn w:val="DefaultParagraphFont"/>
    <w:rsid w:val="00A240CB"/>
  </w:style>
  <w:style w:type="paragraph" w:customStyle="1" w:styleId="Default">
    <w:name w:val="Default"/>
    <w:rsid w:val="006C2A37"/>
    <w:pPr>
      <w:autoSpaceDE w:val="0"/>
      <w:autoSpaceDN w:val="0"/>
      <w:adjustRightInd w:val="0"/>
      <w:spacing w:after="0" w:line="240" w:lineRule="auto"/>
    </w:pPr>
    <w:rPr>
      <w:rFonts w:ascii="Arial" w:hAnsi="Arial" w:cs="Arial"/>
      <w:color w:val="000000"/>
      <w:sz w:val="24"/>
      <w:szCs w:val="24"/>
      <w:lang w:val="en-IN"/>
    </w:rPr>
  </w:style>
  <w:style w:type="character" w:styleId="FollowedHyperlink">
    <w:name w:val="FollowedHyperlink"/>
    <w:basedOn w:val="DefaultParagraphFont"/>
    <w:uiPriority w:val="99"/>
    <w:semiHidden/>
    <w:unhideWhenUsed/>
    <w:rsid w:val="006C2A37"/>
    <w:rPr>
      <w:color w:val="800080" w:themeColor="followedHyperlink"/>
      <w:u w:val="single"/>
    </w:rPr>
  </w:style>
  <w:style w:type="character" w:customStyle="1" w:styleId="ListParagraphChar">
    <w:name w:val="List Paragraph Char"/>
    <w:basedOn w:val="DefaultParagraphFont"/>
    <w:link w:val="ListParagraph"/>
    <w:uiPriority w:val="34"/>
    <w:qFormat/>
    <w:locked/>
    <w:rsid w:val="00A33381"/>
    <w:rPr>
      <w:lang w:val="en-IN"/>
    </w:rPr>
  </w:style>
  <w:style w:type="character" w:customStyle="1" w:styleId="UnresolvedMention1">
    <w:name w:val="Unresolved Mention1"/>
    <w:basedOn w:val="DefaultParagraphFont"/>
    <w:uiPriority w:val="99"/>
    <w:semiHidden/>
    <w:unhideWhenUsed/>
    <w:rsid w:val="00057691"/>
    <w:rPr>
      <w:color w:val="605E5C"/>
      <w:shd w:val="clear" w:color="auto" w:fill="E1DFDD"/>
    </w:rPr>
  </w:style>
  <w:style w:type="character" w:customStyle="1" w:styleId="Heading2Char">
    <w:name w:val="Heading 2 Char"/>
    <w:basedOn w:val="DefaultParagraphFont"/>
    <w:link w:val="Heading2"/>
    <w:uiPriority w:val="9"/>
    <w:rsid w:val="00B35AB0"/>
    <w:rPr>
      <w:rFonts w:ascii="Times New Roman" w:eastAsia="Times New Roman" w:hAnsi="Times New Roman" w:cs="Times New Roman"/>
      <w:b/>
      <w:bCs/>
      <w:sz w:val="36"/>
      <w:szCs w:val="36"/>
    </w:rPr>
  </w:style>
  <w:style w:type="character" w:customStyle="1" w:styleId="UnresolvedMention2">
    <w:name w:val="Unresolved Mention2"/>
    <w:basedOn w:val="DefaultParagraphFont"/>
    <w:uiPriority w:val="99"/>
    <w:semiHidden/>
    <w:unhideWhenUsed/>
    <w:rsid w:val="00B35AB0"/>
    <w:rPr>
      <w:color w:val="605E5C"/>
      <w:shd w:val="clear" w:color="auto" w:fill="E1DFDD"/>
    </w:rPr>
  </w:style>
  <w:style w:type="paragraph" w:customStyle="1" w:styleId="body">
    <w:name w:val="body"/>
    <w:basedOn w:val="Normal"/>
    <w:rsid w:val="00F8264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4288">
      <w:bodyDiv w:val="1"/>
      <w:marLeft w:val="0"/>
      <w:marRight w:val="0"/>
      <w:marTop w:val="0"/>
      <w:marBottom w:val="0"/>
      <w:divBdr>
        <w:top w:val="none" w:sz="0" w:space="0" w:color="auto"/>
        <w:left w:val="none" w:sz="0" w:space="0" w:color="auto"/>
        <w:bottom w:val="none" w:sz="0" w:space="0" w:color="auto"/>
        <w:right w:val="none" w:sz="0" w:space="0" w:color="auto"/>
      </w:divBdr>
    </w:div>
    <w:div w:id="1358044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mann.com/research/competition-law/top-story/101010000000318260/cci-dismisses-complaint-filed-by-pharma-wholesalers-for-anti-competitive-practices-against-17-pharmaceutical-cos-caselaw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axmann.com/research/direct-tax-laws/top-story/105010000000021112/faqs-on-income-tax-returns-for-assessment-year-2021-22-experts-opinio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axmann.com/research/direct-tax-laws/top-story/101010000000318066/ao-to-allow-tds-credit-to-employee-even-if-tds-isnt-deposited-by-employer-gujarat-hc-caselaws" TargetMode="External"/><Relationship Id="rId11" Type="http://schemas.openxmlformats.org/officeDocument/2006/relationships/hyperlink" Target="https://www.taxmann.com/research/account-audit/top-story/222330000000021602/revenue-recognition-from-sale-of-electricity-as-per-ind-as-115-news" TargetMode="External"/><Relationship Id="rId5" Type="http://schemas.openxmlformats.org/officeDocument/2006/relationships/webSettings" Target="webSettings.xml"/><Relationship Id="rId10" Type="http://schemas.openxmlformats.org/officeDocument/2006/relationships/hyperlink" Target="https://www.taxmann.com/research/gst-new/top-story/101010000000318170/delhi-hc-granted-bail-to-petitioner-as-detaining-him-in-judicial-custody-would-adversely-affect-business-caselaws" TargetMode="External"/><Relationship Id="rId4" Type="http://schemas.openxmlformats.org/officeDocument/2006/relationships/settings" Target="settings.xml"/><Relationship Id="rId9" Type="http://schemas.openxmlformats.org/officeDocument/2006/relationships/hyperlink" Target="https://www.taxmann.com/research/gst-new/top-story/101010000000318243/refund-cant-be-denied-even-if-investigation-is-pending-against-the-assessee-bombay-hc-case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B1070-9A34-4D82-A2CE-93FA6890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Thakur</dc:creator>
  <cp:keywords/>
  <dc:description/>
  <cp:lastModifiedBy>Lenovo</cp:lastModifiedBy>
  <cp:revision>193</cp:revision>
  <dcterms:created xsi:type="dcterms:W3CDTF">2021-10-26T06:12:00Z</dcterms:created>
  <dcterms:modified xsi:type="dcterms:W3CDTF">2021-12-07T06:17:00Z</dcterms:modified>
</cp:coreProperties>
</file>